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3FE6" w14:textId="77777777" w:rsidR="00ED4124" w:rsidRDefault="00ED4124" w:rsidP="00ED4124">
      <w:pPr>
        <w:jc w:val="center"/>
        <w:rPr>
          <w:b/>
          <w:bCs/>
          <w:sz w:val="28"/>
          <w:szCs w:val="28"/>
          <w:u w:val="single"/>
        </w:rPr>
      </w:pPr>
      <w:r w:rsidRPr="009D345A">
        <w:rPr>
          <w:noProof/>
          <w:sz w:val="28"/>
          <w:szCs w:val="28"/>
        </w:rPr>
        <mc:AlternateContent>
          <mc:Choice Requires="wps">
            <w:drawing>
              <wp:anchor distT="0" distB="0" distL="228600" distR="228600" simplePos="0" relativeHeight="251659264" behindDoc="0" locked="0" layoutInCell="1" allowOverlap="1" wp14:anchorId="6B2AD33E" wp14:editId="64F6F2B3">
                <wp:simplePos x="0" y="0"/>
                <wp:positionH relativeFrom="margin">
                  <wp:posOffset>5781675</wp:posOffset>
                </wp:positionH>
                <wp:positionV relativeFrom="margin">
                  <wp:posOffset>42545</wp:posOffset>
                </wp:positionV>
                <wp:extent cx="3233420" cy="8229600"/>
                <wp:effectExtent l="19050" t="0" r="5080" b="0"/>
                <wp:wrapSquare wrapText="bothSides"/>
                <wp:docPr id="141" name="Text Box 42"/>
                <wp:cNvGraphicFramePr/>
                <a:graphic xmlns:a="http://schemas.openxmlformats.org/drawingml/2006/main">
                  <a:graphicData uri="http://schemas.microsoft.com/office/word/2010/wordprocessingShape">
                    <wps:wsp>
                      <wps:cNvSpPr txBox="1"/>
                      <wps:spPr>
                        <a:xfrm>
                          <a:off x="0" y="0"/>
                          <a:ext cx="3233420" cy="8229600"/>
                        </a:xfrm>
                        <a:prstGeom prst="rect">
                          <a:avLst/>
                        </a:prstGeom>
                        <a:solidFill>
                          <a:sysClr val="window" lastClr="FFFFFF"/>
                        </a:solidFill>
                        <a:ln w="6350">
                          <a:noFill/>
                        </a:ln>
                        <a:effectLst>
                          <a:outerShdw dist="19050" dir="10800000" algn="r" rotWithShape="0">
                            <a:srgbClr val="ED7D31"/>
                          </a:outerShdw>
                        </a:effectLst>
                      </wps:spPr>
                      <wps:txbx>
                        <w:txbxContent>
                          <w:p w14:paraId="33AB8DE7" w14:textId="77777777" w:rsidR="00ED4124" w:rsidRPr="0021416E" w:rsidRDefault="00ED4124" w:rsidP="00ED4124">
                            <w:pPr>
                              <w:jc w:val="center"/>
                              <w:rPr>
                                <w:b/>
                                <w:bCs/>
                                <w:sz w:val="28"/>
                                <w:szCs w:val="28"/>
                                <w:u w:val="single"/>
                              </w:rPr>
                            </w:pPr>
                            <w:r w:rsidRPr="0021416E">
                              <w:rPr>
                                <w:b/>
                                <w:bCs/>
                                <w:sz w:val="28"/>
                                <w:szCs w:val="28"/>
                                <w:u w:val="single"/>
                              </w:rPr>
                              <w:t>LEICESTERSHIRE SECONDARY EDUCATION AND INCLUSION PARTNERSHIPS’ AP TOOL KIT</w:t>
                            </w:r>
                          </w:p>
                          <w:p w14:paraId="576FAB5C" w14:textId="54DE9479" w:rsidR="00ED4124" w:rsidRPr="0021416E" w:rsidRDefault="00ED4124" w:rsidP="00ED4124">
                            <w:pPr>
                              <w:spacing w:after="240" w:line="240" w:lineRule="auto"/>
                              <w:rPr>
                                <w:rFonts w:ascii="Calibri" w:eastAsia="Calibri" w:hAnsi="Calibri" w:cs="Times New Roman"/>
                                <w:noProof/>
                              </w:rPr>
                            </w:pPr>
                            <w:r w:rsidRPr="0021416E">
                              <w:rPr>
                                <w:rFonts w:ascii="Calibri" w:eastAsia="Calibri" w:hAnsi="Calibri" w:cs="Times New Roman"/>
                                <w:noProof/>
                              </w:rPr>
                              <w:t xml:space="preserve">Our Tool Kit is designed to support Alternative Providers </w:t>
                            </w:r>
                            <w:r w:rsidR="003E3D87" w:rsidRPr="0021416E">
                              <w:rPr>
                                <w:rFonts w:ascii="Calibri" w:eastAsia="Calibri" w:hAnsi="Calibri" w:cs="Times New Roman"/>
                                <w:noProof/>
                              </w:rPr>
                              <w:t xml:space="preserve">(APs) </w:t>
                            </w:r>
                            <w:r w:rsidRPr="0021416E">
                              <w:rPr>
                                <w:rFonts w:ascii="Calibri" w:eastAsia="Calibri" w:hAnsi="Calibri" w:cs="Times New Roman"/>
                                <w:noProof/>
                              </w:rPr>
                              <w:t>in developing their effectiveness.  Each section contains:</w:t>
                            </w:r>
                          </w:p>
                          <w:p w14:paraId="720DDD75" w14:textId="61A43367" w:rsidR="00ED4124" w:rsidRPr="0021416E" w:rsidRDefault="00ED4124" w:rsidP="00ED4124">
                            <w:pPr>
                              <w:pStyle w:val="ListParagraph"/>
                              <w:numPr>
                                <w:ilvl w:val="0"/>
                                <w:numId w:val="3"/>
                              </w:numPr>
                              <w:spacing w:after="240" w:line="240" w:lineRule="auto"/>
                              <w:rPr>
                                <w:rFonts w:ascii="Calibri" w:eastAsia="Calibri" w:hAnsi="Calibri" w:cs="Times New Roman"/>
                                <w:noProof/>
                              </w:rPr>
                            </w:pPr>
                            <w:r w:rsidRPr="0021416E">
                              <w:rPr>
                                <w:rFonts w:ascii="Calibri" w:eastAsia="Calibri" w:hAnsi="Calibri" w:cs="Times New Roman"/>
                                <w:noProof/>
                              </w:rPr>
                              <w:t xml:space="preserve">Key </w:t>
                            </w:r>
                            <w:r w:rsidR="003E3D87" w:rsidRPr="0021416E">
                              <w:rPr>
                                <w:rFonts w:ascii="Calibri" w:eastAsia="Calibri" w:hAnsi="Calibri" w:cs="Times New Roman"/>
                                <w:noProof/>
                              </w:rPr>
                              <w:t>p</w:t>
                            </w:r>
                            <w:r w:rsidRPr="0021416E">
                              <w:rPr>
                                <w:rFonts w:ascii="Calibri" w:eastAsia="Calibri" w:hAnsi="Calibri" w:cs="Times New Roman"/>
                                <w:noProof/>
                              </w:rPr>
                              <w:t xml:space="preserve">rinciples that </w:t>
                            </w:r>
                            <w:r w:rsidR="003E3D87" w:rsidRPr="0021416E">
                              <w:rPr>
                                <w:rFonts w:ascii="Calibri" w:eastAsia="Calibri" w:hAnsi="Calibri" w:cs="Times New Roman"/>
                                <w:noProof/>
                              </w:rPr>
                              <w:t>s</w:t>
                            </w:r>
                            <w:r w:rsidRPr="0021416E">
                              <w:rPr>
                                <w:rFonts w:ascii="Calibri" w:eastAsia="Calibri" w:hAnsi="Calibri" w:cs="Times New Roman"/>
                                <w:noProof/>
                              </w:rPr>
                              <w:t xml:space="preserve">chools and </w:t>
                            </w:r>
                            <w:r w:rsidR="003E3D87" w:rsidRPr="0021416E">
                              <w:rPr>
                                <w:rFonts w:ascii="Calibri" w:eastAsia="Calibri" w:hAnsi="Calibri" w:cs="Times New Roman"/>
                                <w:noProof/>
                              </w:rPr>
                              <w:t>p</w:t>
                            </w:r>
                            <w:r w:rsidRPr="0021416E">
                              <w:rPr>
                                <w:rFonts w:ascii="Calibri" w:eastAsia="Calibri" w:hAnsi="Calibri" w:cs="Times New Roman"/>
                                <w:noProof/>
                              </w:rPr>
                              <w:t xml:space="preserve">artnerships are concerned to emphasise,  </w:t>
                            </w:r>
                          </w:p>
                          <w:p w14:paraId="18F5C712" w14:textId="77777777" w:rsidR="00ED4124" w:rsidRPr="0021416E" w:rsidRDefault="00ED4124" w:rsidP="00ED4124">
                            <w:pPr>
                              <w:pStyle w:val="ListParagraph"/>
                              <w:numPr>
                                <w:ilvl w:val="0"/>
                                <w:numId w:val="3"/>
                              </w:numPr>
                              <w:spacing w:after="240" w:line="240" w:lineRule="auto"/>
                              <w:rPr>
                                <w:rFonts w:ascii="Calibri" w:eastAsia="Calibri" w:hAnsi="Calibri" w:cs="Times New Roman"/>
                                <w:noProof/>
                              </w:rPr>
                            </w:pPr>
                            <w:r w:rsidRPr="0021416E">
                              <w:rPr>
                                <w:rFonts w:ascii="Calibri" w:eastAsia="Calibri" w:hAnsi="Calibri" w:cs="Times New Roman"/>
                                <w:noProof/>
                              </w:rPr>
                              <w:t xml:space="preserve">an audit tool to help APs consider current practice. </w:t>
                            </w:r>
                          </w:p>
                          <w:p w14:paraId="27E2B0DE" w14:textId="17AC66D1" w:rsidR="00ED4124" w:rsidRPr="0021416E" w:rsidRDefault="00ED4124" w:rsidP="00ED4124">
                            <w:pPr>
                              <w:pStyle w:val="ListParagraph"/>
                              <w:numPr>
                                <w:ilvl w:val="0"/>
                                <w:numId w:val="3"/>
                              </w:numPr>
                              <w:spacing w:after="240" w:line="240" w:lineRule="auto"/>
                              <w:rPr>
                                <w:rFonts w:ascii="Calibri" w:eastAsia="Calibri" w:hAnsi="Calibri" w:cs="Times New Roman"/>
                                <w:noProof/>
                              </w:rPr>
                            </w:pPr>
                            <w:r w:rsidRPr="0021416E">
                              <w:rPr>
                                <w:rFonts w:ascii="Calibri" w:eastAsia="Calibri" w:hAnsi="Calibri" w:cs="Times New Roman"/>
                                <w:noProof/>
                              </w:rPr>
                              <w:t xml:space="preserve">a set of prompts that aim to help </w:t>
                            </w:r>
                            <w:r w:rsidR="003E3D87" w:rsidRPr="0021416E">
                              <w:rPr>
                                <w:rFonts w:ascii="Calibri" w:eastAsia="Calibri" w:hAnsi="Calibri" w:cs="Times New Roman"/>
                                <w:noProof/>
                              </w:rPr>
                              <w:t>p</w:t>
                            </w:r>
                            <w:r w:rsidRPr="0021416E">
                              <w:rPr>
                                <w:rFonts w:ascii="Calibri" w:eastAsia="Calibri" w:hAnsi="Calibri" w:cs="Times New Roman"/>
                                <w:noProof/>
                              </w:rPr>
                              <w:t xml:space="preserve">roviders write a formal policy for the area of work. </w:t>
                            </w:r>
                          </w:p>
                          <w:p w14:paraId="3EA7F862" w14:textId="2317A6A6" w:rsidR="00ED4124" w:rsidRPr="0021416E" w:rsidRDefault="00ED4124" w:rsidP="00ED4124">
                            <w:pPr>
                              <w:pStyle w:val="ListParagraph"/>
                              <w:numPr>
                                <w:ilvl w:val="0"/>
                                <w:numId w:val="3"/>
                              </w:numPr>
                              <w:spacing w:after="240" w:line="240" w:lineRule="auto"/>
                              <w:rPr>
                                <w:rFonts w:ascii="Calibri" w:eastAsia="Calibri" w:hAnsi="Calibri" w:cs="Times New Roman"/>
                                <w:noProof/>
                              </w:rPr>
                            </w:pPr>
                            <w:r w:rsidRPr="0021416E">
                              <w:rPr>
                                <w:rFonts w:ascii="Calibri" w:eastAsia="Calibri" w:hAnsi="Calibri" w:cs="Times New Roman"/>
                                <w:noProof/>
                              </w:rPr>
                              <w:t xml:space="preserve">Further references to </w:t>
                            </w:r>
                            <w:r w:rsidR="003E3D87" w:rsidRPr="0021416E">
                              <w:rPr>
                                <w:rFonts w:ascii="Calibri" w:eastAsia="Calibri" w:hAnsi="Calibri" w:cs="Times New Roman"/>
                                <w:noProof/>
                              </w:rPr>
                              <w:t>g</w:t>
                            </w:r>
                            <w:r w:rsidRPr="0021416E">
                              <w:rPr>
                                <w:rFonts w:ascii="Calibri" w:eastAsia="Calibri" w:hAnsi="Calibri" w:cs="Times New Roman"/>
                                <w:noProof/>
                              </w:rPr>
                              <w:t xml:space="preserve">overnment </w:t>
                            </w:r>
                            <w:r w:rsidR="003E3D87" w:rsidRPr="0021416E">
                              <w:rPr>
                                <w:rFonts w:ascii="Calibri" w:eastAsia="Calibri" w:hAnsi="Calibri" w:cs="Times New Roman"/>
                                <w:noProof/>
                              </w:rPr>
                              <w:t>g</w:t>
                            </w:r>
                            <w:r w:rsidRPr="0021416E">
                              <w:rPr>
                                <w:rFonts w:ascii="Calibri" w:eastAsia="Calibri" w:hAnsi="Calibri" w:cs="Times New Roman"/>
                                <w:noProof/>
                              </w:rPr>
                              <w:t>uidance and other sources of advice</w:t>
                            </w:r>
                            <w:r w:rsidR="003E3D87" w:rsidRPr="0021416E">
                              <w:rPr>
                                <w:rFonts w:ascii="Calibri" w:eastAsia="Calibri" w:hAnsi="Calibri" w:cs="Times New Roman"/>
                                <w:noProof/>
                              </w:rPr>
                              <w:t>.</w:t>
                            </w:r>
                          </w:p>
                          <w:p w14:paraId="4CF0A93C" w14:textId="46CC8F40" w:rsidR="00ED4124" w:rsidRPr="0021416E" w:rsidRDefault="00ED4124" w:rsidP="00ED4124">
                            <w:pPr>
                              <w:spacing w:after="240" w:line="240" w:lineRule="auto"/>
                              <w:rPr>
                                <w:rFonts w:asciiTheme="majorHAnsi" w:eastAsiaTheme="majorEastAsia" w:hAnsiTheme="majorHAnsi" w:cstheme="majorBidi"/>
                                <w:caps/>
                                <w:sz w:val="36"/>
                                <w:szCs w:val="36"/>
                              </w:rPr>
                            </w:pPr>
                            <w:r w:rsidRPr="0021416E">
                              <w:rPr>
                                <w:rFonts w:ascii="Calibri" w:eastAsia="Calibri" w:hAnsi="Calibri" w:cs="Times New Roman"/>
                                <w:noProof/>
                              </w:rPr>
                              <w:t>The great variety in size, focus and scope of individual Alternative Providers</w:t>
                            </w:r>
                            <w:r w:rsidR="003E3D87" w:rsidRPr="0021416E">
                              <w:rPr>
                                <w:rFonts w:ascii="Calibri" w:eastAsia="Calibri" w:hAnsi="Calibri" w:cs="Times New Roman"/>
                                <w:noProof/>
                              </w:rPr>
                              <w:t xml:space="preserve"> </w:t>
                            </w:r>
                            <w:r w:rsidRPr="0021416E">
                              <w:rPr>
                                <w:rFonts w:ascii="Calibri" w:eastAsia="Calibri" w:hAnsi="Calibri" w:cs="Times New Roman"/>
                                <w:noProof/>
                              </w:rPr>
                              <w:t xml:space="preserve">means that the way you approach each issue will be unique.  LEBC audits and </w:t>
                            </w:r>
                            <w:r w:rsidR="003E3D87" w:rsidRPr="0021416E">
                              <w:rPr>
                                <w:rFonts w:ascii="Calibri" w:eastAsia="Calibri" w:hAnsi="Calibri" w:cs="Times New Roman"/>
                                <w:noProof/>
                              </w:rPr>
                              <w:t>s</w:t>
                            </w:r>
                            <w:r w:rsidRPr="0021416E">
                              <w:rPr>
                                <w:rFonts w:ascii="Calibri" w:eastAsia="Calibri" w:hAnsi="Calibri" w:cs="Times New Roman"/>
                                <w:noProof/>
                              </w:rPr>
                              <w:t xml:space="preserve">chool, </w:t>
                            </w:r>
                            <w:r w:rsidR="003E3D87" w:rsidRPr="0021416E">
                              <w:rPr>
                                <w:rFonts w:ascii="Calibri" w:eastAsia="Calibri" w:hAnsi="Calibri" w:cs="Times New Roman"/>
                                <w:noProof/>
                              </w:rPr>
                              <w:t>p</w:t>
                            </w:r>
                            <w:r w:rsidRPr="0021416E">
                              <w:rPr>
                                <w:rFonts w:ascii="Calibri" w:eastAsia="Calibri" w:hAnsi="Calibri" w:cs="Times New Roman"/>
                                <w:noProof/>
                              </w:rPr>
                              <w:t>artnership and Local Authority quality assurance checks on APs value the diversity of provision. There is no expectation that you formally use the tool kit, have a standard policy document nor share any self-audit with others.  We hope that it will enable you to strengthen your practice and allow you, when asked, to present evidence of self-evaluation.</w:t>
                            </w:r>
                          </w:p>
                          <w:p w14:paraId="47993046" w14:textId="77777777" w:rsidR="00ED4124" w:rsidRPr="0021416E" w:rsidRDefault="00ED4124" w:rsidP="00ED4124"/>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98500</wp14:pctHeight>
                </wp14:sizeRelV>
              </wp:anchor>
            </w:drawing>
          </mc:Choice>
          <mc:Fallback>
            <w:pict>
              <v:shapetype w14:anchorId="6B2AD33E" id="_x0000_t202" coordsize="21600,21600" o:spt="202" path="m,l,21600r21600,l21600,xe">
                <v:stroke joinstyle="miter"/>
                <v:path gradientshapeok="t" o:connecttype="rect"/>
              </v:shapetype>
              <v:shape id="Text Box 42" o:spid="_x0000_s1026" type="#_x0000_t202" style="position:absolute;left:0;text-align:left;margin-left:455.25pt;margin-top:3.35pt;width:254.6pt;height:9in;z-index:251659264;visibility:visible;mso-wrap-style:square;mso-width-percent:0;mso-height-percent:985;mso-wrap-distance-left:18pt;mso-wrap-distance-top:0;mso-wrap-distance-right:18pt;mso-wrap-distance-bottom:0;mso-position-horizontal:absolute;mso-position-horizontal-relative:margin;mso-position-vertical:absolute;mso-position-vertical-relative:margin;mso-width-percent: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KnfgIAAOoEAAAOAAAAZHJzL2Uyb0RvYy54bWysVMlu2zAQvRfoPxC8N1rcOo4ROXDjuigQ&#10;JAGcImeaoiwBEoclaUvu1/eRXpK0PRXVgZ7hDGd588bXN0PXsp2yriFd8Owi5UxpSWWjNwX//rT8&#10;MOHMeaFL0ZJWBd8rx29m799d92aqcqqpLZVlCKLdtDcFr7030yRxsladcBdklIaxItsJD9VuktKK&#10;HtG7NsnTdJz0ZEtjSSrncLs4GPksxq8qJf1DVTnlWVtw1ObjaeO5DmcyuxbTjRWmbuSxDPEPVXSi&#10;0Uh6DrUQXrCtbf4I1TXSkqPKX0jqEqqqRqrYA7rJ0t+6WdXCqNgLwHHmDJP7f2Hl/W5lHi3zw2ca&#10;MMAASG/c1OEy9DNUtgu/qJTBDgj3Z9jU4JnE5SgfjT7mMEnYJnl+NU4jsMnLc2Od/6qoY0EouMVc&#10;Ilxid+c8UsL15BKyOWqbctm0bVT27ra1bCcwQky+pJ6zVjiPy4Iv4xeqRog3z1rN+oKPR5/SmElT&#10;iHfwa3WIqyI9kD/2t/XKruqyZ2UTKsyuUjyEghxZOknDx5loN2C55cySf258HQcU8Ih12s36XOiX&#10;xeViFNFEXXQKHqt8lTd5gTpIflgPR/zXVO4xFuSJoDsjlw2gu0Pfj8KCoqgGa+cfcFQtoVM6SpzV&#10;ZH/+7T74gzmwctaD8gV3P7bCKsD5TYNTeT4Jk2M+atnoMhtDs1GDsH5zrbfdLWEiGfbbyCgGZ9+e&#10;xMpS94zlnIekMAktkbrg/iTeemgwYLmlms+jjKUwwt/plZEhdIA18OJpeBbWHMnjwbt7Ou2GmP7G&#10;oYNveKlpvvVUNZFgAd8DqBhCULBQcRzH5Q8b+1qPXi9/UbNfAAAA//8DAFBLAwQUAAYACAAAACEA&#10;96gSs+AAAAALAQAADwAAAGRycy9kb3ducmV2LnhtbEyPwU7DMBBE70j8g7VI3KidAm0a4lQICW4g&#10;NQXB0Y23Sdp4HcVuG/h6tie4zWpGs2/y5eg6ccQhtJ40JBMFAqnytqVaw/v6+SYFEaIhazpPqOEb&#10;AyyLy4vcZNafaIXHMtaCSyhkRkMTY59JGaoGnQkT3yOxt/WDM5HPoZZ2MCcud52cKjWTzrTEHxrT&#10;41OD1b48OA3r1/Jjq5JUvX3td273mbofal+0vr4aHx9ARBzjXxjO+IwOBTNt/IFsEJ2GRaLuOaph&#10;Ngdx9u+SBasNq1s1nYMscvl/Q/ELAAD//wMAUEsBAi0AFAAGAAgAAAAhALaDOJL+AAAA4QEAABMA&#10;AAAAAAAAAAAAAAAAAAAAAFtDb250ZW50X1R5cGVzXS54bWxQSwECLQAUAAYACAAAACEAOP0h/9YA&#10;AACUAQAACwAAAAAAAAAAAAAAAAAvAQAAX3JlbHMvLnJlbHNQSwECLQAUAAYACAAAACEALCHip34C&#10;AADqBAAADgAAAAAAAAAAAAAAAAAuAgAAZHJzL2Uyb0RvYy54bWxQSwECLQAUAAYACAAAACEA96gS&#10;s+AAAAALAQAADwAAAAAAAAAAAAAAAADYBAAAZHJzL2Rvd25yZXYueG1sUEsFBgAAAAAEAAQA8wAA&#10;AOUFAAAAAA==&#10;" fillcolor="window" stroked="f" strokeweight=".5pt">
                <v:shadow on="t" color="#ed7d31" origin=".5" offset="-1.5pt,0"/>
                <v:textbox inset="18pt,10.8pt,0,10.8pt">
                  <w:txbxContent>
                    <w:p w14:paraId="33AB8DE7" w14:textId="77777777" w:rsidR="00ED4124" w:rsidRPr="0021416E" w:rsidRDefault="00ED4124" w:rsidP="00ED4124">
                      <w:pPr>
                        <w:jc w:val="center"/>
                        <w:rPr>
                          <w:b/>
                          <w:bCs/>
                          <w:sz w:val="28"/>
                          <w:szCs w:val="28"/>
                          <w:u w:val="single"/>
                        </w:rPr>
                      </w:pPr>
                      <w:r w:rsidRPr="0021416E">
                        <w:rPr>
                          <w:b/>
                          <w:bCs/>
                          <w:sz w:val="28"/>
                          <w:szCs w:val="28"/>
                          <w:u w:val="single"/>
                        </w:rPr>
                        <w:t>LEICESTERSHIRE SECONDARY EDUCATION AND INCLUSION PARTNERSHIPS’ AP TOOL KIT</w:t>
                      </w:r>
                    </w:p>
                    <w:p w14:paraId="576FAB5C" w14:textId="54DE9479" w:rsidR="00ED4124" w:rsidRPr="0021416E" w:rsidRDefault="00ED4124" w:rsidP="00ED4124">
                      <w:pPr>
                        <w:spacing w:after="240" w:line="240" w:lineRule="auto"/>
                        <w:rPr>
                          <w:rFonts w:ascii="Calibri" w:eastAsia="Calibri" w:hAnsi="Calibri" w:cs="Times New Roman"/>
                          <w:noProof/>
                        </w:rPr>
                      </w:pPr>
                      <w:r w:rsidRPr="0021416E">
                        <w:rPr>
                          <w:rFonts w:ascii="Calibri" w:eastAsia="Calibri" w:hAnsi="Calibri" w:cs="Times New Roman"/>
                          <w:noProof/>
                        </w:rPr>
                        <w:t xml:space="preserve">Our Tool Kit is designed to support Alternative Providers </w:t>
                      </w:r>
                      <w:r w:rsidR="003E3D87" w:rsidRPr="0021416E">
                        <w:rPr>
                          <w:rFonts w:ascii="Calibri" w:eastAsia="Calibri" w:hAnsi="Calibri" w:cs="Times New Roman"/>
                          <w:noProof/>
                        </w:rPr>
                        <w:t xml:space="preserve">(APs) </w:t>
                      </w:r>
                      <w:r w:rsidRPr="0021416E">
                        <w:rPr>
                          <w:rFonts w:ascii="Calibri" w:eastAsia="Calibri" w:hAnsi="Calibri" w:cs="Times New Roman"/>
                          <w:noProof/>
                        </w:rPr>
                        <w:t>in developing their effectiveness.  Each section contains:</w:t>
                      </w:r>
                    </w:p>
                    <w:p w14:paraId="720DDD75" w14:textId="61A43367" w:rsidR="00ED4124" w:rsidRPr="0021416E" w:rsidRDefault="00ED4124" w:rsidP="00ED4124">
                      <w:pPr>
                        <w:pStyle w:val="ListParagraph"/>
                        <w:numPr>
                          <w:ilvl w:val="0"/>
                          <w:numId w:val="3"/>
                        </w:numPr>
                        <w:spacing w:after="240" w:line="240" w:lineRule="auto"/>
                        <w:rPr>
                          <w:rFonts w:ascii="Calibri" w:eastAsia="Calibri" w:hAnsi="Calibri" w:cs="Times New Roman"/>
                          <w:noProof/>
                        </w:rPr>
                      </w:pPr>
                      <w:r w:rsidRPr="0021416E">
                        <w:rPr>
                          <w:rFonts w:ascii="Calibri" w:eastAsia="Calibri" w:hAnsi="Calibri" w:cs="Times New Roman"/>
                          <w:noProof/>
                        </w:rPr>
                        <w:t xml:space="preserve">Key </w:t>
                      </w:r>
                      <w:r w:rsidR="003E3D87" w:rsidRPr="0021416E">
                        <w:rPr>
                          <w:rFonts w:ascii="Calibri" w:eastAsia="Calibri" w:hAnsi="Calibri" w:cs="Times New Roman"/>
                          <w:noProof/>
                        </w:rPr>
                        <w:t>p</w:t>
                      </w:r>
                      <w:r w:rsidRPr="0021416E">
                        <w:rPr>
                          <w:rFonts w:ascii="Calibri" w:eastAsia="Calibri" w:hAnsi="Calibri" w:cs="Times New Roman"/>
                          <w:noProof/>
                        </w:rPr>
                        <w:t xml:space="preserve">rinciples that </w:t>
                      </w:r>
                      <w:r w:rsidR="003E3D87" w:rsidRPr="0021416E">
                        <w:rPr>
                          <w:rFonts w:ascii="Calibri" w:eastAsia="Calibri" w:hAnsi="Calibri" w:cs="Times New Roman"/>
                          <w:noProof/>
                        </w:rPr>
                        <w:t>s</w:t>
                      </w:r>
                      <w:r w:rsidRPr="0021416E">
                        <w:rPr>
                          <w:rFonts w:ascii="Calibri" w:eastAsia="Calibri" w:hAnsi="Calibri" w:cs="Times New Roman"/>
                          <w:noProof/>
                        </w:rPr>
                        <w:t xml:space="preserve">chools and </w:t>
                      </w:r>
                      <w:r w:rsidR="003E3D87" w:rsidRPr="0021416E">
                        <w:rPr>
                          <w:rFonts w:ascii="Calibri" w:eastAsia="Calibri" w:hAnsi="Calibri" w:cs="Times New Roman"/>
                          <w:noProof/>
                        </w:rPr>
                        <w:t>p</w:t>
                      </w:r>
                      <w:r w:rsidRPr="0021416E">
                        <w:rPr>
                          <w:rFonts w:ascii="Calibri" w:eastAsia="Calibri" w:hAnsi="Calibri" w:cs="Times New Roman"/>
                          <w:noProof/>
                        </w:rPr>
                        <w:t xml:space="preserve">artnerships are concerned to emphasise,  </w:t>
                      </w:r>
                    </w:p>
                    <w:p w14:paraId="18F5C712" w14:textId="77777777" w:rsidR="00ED4124" w:rsidRPr="0021416E" w:rsidRDefault="00ED4124" w:rsidP="00ED4124">
                      <w:pPr>
                        <w:pStyle w:val="ListParagraph"/>
                        <w:numPr>
                          <w:ilvl w:val="0"/>
                          <w:numId w:val="3"/>
                        </w:numPr>
                        <w:spacing w:after="240" w:line="240" w:lineRule="auto"/>
                        <w:rPr>
                          <w:rFonts w:ascii="Calibri" w:eastAsia="Calibri" w:hAnsi="Calibri" w:cs="Times New Roman"/>
                          <w:noProof/>
                        </w:rPr>
                      </w:pPr>
                      <w:r w:rsidRPr="0021416E">
                        <w:rPr>
                          <w:rFonts w:ascii="Calibri" w:eastAsia="Calibri" w:hAnsi="Calibri" w:cs="Times New Roman"/>
                          <w:noProof/>
                        </w:rPr>
                        <w:t xml:space="preserve">an audit tool to help APs consider current practice. </w:t>
                      </w:r>
                    </w:p>
                    <w:p w14:paraId="27E2B0DE" w14:textId="17AC66D1" w:rsidR="00ED4124" w:rsidRPr="0021416E" w:rsidRDefault="00ED4124" w:rsidP="00ED4124">
                      <w:pPr>
                        <w:pStyle w:val="ListParagraph"/>
                        <w:numPr>
                          <w:ilvl w:val="0"/>
                          <w:numId w:val="3"/>
                        </w:numPr>
                        <w:spacing w:after="240" w:line="240" w:lineRule="auto"/>
                        <w:rPr>
                          <w:rFonts w:ascii="Calibri" w:eastAsia="Calibri" w:hAnsi="Calibri" w:cs="Times New Roman"/>
                          <w:noProof/>
                        </w:rPr>
                      </w:pPr>
                      <w:r w:rsidRPr="0021416E">
                        <w:rPr>
                          <w:rFonts w:ascii="Calibri" w:eastAsia="Calibri" w:hAnsi="Calibri" w:cs="Times New Roman"/>
                          <w:noProof/>
                        </w:rPr>
                        <w:t xml:space="preserve">a set of prompts that aim to help </w:t>
                      </w:r>
                      <w:r w:rsidR="003E3D87" w:rsidRPr="0021416E">
                        <w:rPr>
                          <w:rFonts w:ascii="Calibri" w:eastAsia="Calibri" w:hAnsi="Calibri" w:cs="Times New Roman"/>
                          <w:noProof/>
                        </w:rPr>
                        <w:t>p</w:t>
                      </w:r>
                      <w:r w:rsidRPr="0021416E">
                        <w:rPr>
                          <w:rFonts w:ascii="Calibri" w:eastAsia="Calibri" w:hAnsi="Calibri" w:cs="Times New Roman"/>
                          <w:noProof/>
                        </w:rPr>
                        <w:t xml:space="preserve">roviders write a formal policy for the area of work. </w:t>
                      </w:r>
                    </w:p>
                    <w:p w14:paraId="3EA7F862" w14:textId="2317A6A6" w:rsidR="00ED4124" w:rsidRPr="0021416E" w:rsidRDefault="00ED4124" w:rsidP="00ED4124">
                      <w:pPr>
                        <w:pStyle w:val="ListParagraph"/>
                        <w:numPr>
                          <w:ilvl w:val="0"/>
                          <w:numId w:val="3"/>
                        </w:numPr>
                        <w:spacing w:after="240" w:line="240" w:lineRule="auto"/>
                        <w:rPr>
                          <w:rFonts w:ascii="Calibri" w:eastAsia="Calibri" w:hAnsi="Calibri" w:cs="Times New Roman"/>
                          <w:noProof/>
                        </w:rPr>
                      </w:pPr>
                      <w:r w:rsidRPr="0021416E">
                        <w:rPr>
                          <w:rFonts w:ascii="Calibri" w:eastAsia="Calibri" w:hAnsi="Calibri" w:cs="Times New Roman"/>
                          <w:noProof/>
                        </w:rPr>
                        <w:t xml:space="preserve">Further references to </w:t>
                      </w:r>
                      <w:r w:rsidR="003E3D87" w:rsidRPr="0021416E">
                        <w:rPr>
                          <w:rFonts w:ascii="Calibri" w:eastAsia="Calibri" w:hAnsi="Calibri" w:cs="Times New Roman"/>
                          <w:noProof/>
                        </w:rPr>
                        <w:t>g</w:t>
                      </w:r>
                      <w:r w:rsidRPr="0021416E">
                        <w:rPr>
                          <w:rFonts w:ascii="Calibri" w:eastAsia="Calibri" w:hAnsi="Calibri" w:cs="Times New Roman"/>
                          <w:noProof/>
                        </w:rPr>
                        <w:t xml:space="preserve">overnment </w:t>
                      </w:r>
                      <w:r w:rsidR="003E3D87" w:rsidRPr="0021416E">
                        <w:rPr>
                          <w:rFonts w:ascii="Calibri" w:eastAsia="Calibri" w:hAnsi="Calibri" w:cs="Times New Roman"/>
                          <w:noProof/>
                        </w:rPr>
                        <w:t>g</w:t>
                      </w:r>
                      <w:r w:rsidRPr="0021416E">
                        <w:rPr>
                          <w:rFonts w:ascii="Calibri" w:eastAsia="Calibri" w:hAnsi="Calibri" w:cs="Times New Roman"/>
                          <w:noProof/>
                        </w:rPr>
                        <w:t>uidance and other sources of advice</w:t>
                      </w:r>
                      <w:r w:rsidR="003E3D87" w:rsidRPr="0021416E">
                        <w:rPr>
                          <w:rFonts w:ascii="Calibri" w:eastAsia="Calibri" w:hAnsi="Calibri" w:cs="Times New Roman"/>
                          <w:noProof/>
                        </w:rPr>
                        <w:t>.</w:t>
                      </w:r>
                    </w:p>
                    <w:p w14:paraId="4CF0A93C" w14:textId="46CC8F40" w:rsidR="00ED4124" w:rsidRPr="0021416E" w:rsidRDefault="00ED4124" w:rsidP="00ED4124">
                      <w:pPr>
                        <w:spacing w:after="240" w:line="240" w:lineRule="auto"/>
                        <w:rPr>
                          <w:rFonts w:asciiTheme="majorHAnsi" w:eastAsiaTheme="majorEastAsia" w:hAnsiTheme="majorHAnsi" w:cstheme="majorBidi"/>
                          <w:caps/>
                          <w:sz w:val="36"/>
                          <w:szCs w:val="36"/>
                        </w:rPr>
                      </w:pPr>
                      <w:r w:rsidRPr="0021416E">
                        <w:rPr>
                          <w:rFonts w:ascii="Calibri" w:eastAsia="Calibri" w:hAnsi="Calibri" w:cs="Times New Roman"/>
                          <w:noProof/>
                        </w:rPr>
                        <w:t>The great variety in size, focus and scope of individual Alternative Providers</w:t>
                      </w:r>
                      <w:r w:rsidR="003E3D87" w:rsidRPr="0021416E">
                        <w:rPr>
                          <w:rFonts w:ascii="Calibri" w:eastAsia="Calibri" w:hAnsi="Calibri" w:cs="Times New Roman"/>
                          <w:noProof/>
                        </w:rPr>
                        <w:t xml:space="preserve"> </w:t>
                      </w:r>
                      <w:r w:rsidRPr="0021416E">
                        <w:rPr>
                          <w:rFonts w:ascii="Calibri" w:eastAsia="Calibri" w:hAnsi="Calibri" w:cs="Times New Roman"/>
                          <w:noProof/>
                        </w:rPr>
                        <w:t xml:space="preserve">means that the way you approach each issue will be unique.  LEBC audits and </w:t>
                      </w:r>
                      <w:r w:rsidR="003E3D87" w:rsidRPr="0021416E">
                        <w:rPr>
                          <w:rFonts w:ascii="Calibri" w:eastAsia="Calibri" w:hAnsi="Calibri" w:cs="Times New Roman"/>
                          <w:noProof/>
                        </w:rPr>
                        <w:t>s</w:t>
                      </w:r>
                      <w:r w:rsidRPr="0021416E">
                        <w:rPr>
                          <w:rFonts w:ascii="Calibri" w:eastAsia="Calibri" w:hAnsi="Calibri" w:cs="Times New Roman"/>
                          <w:noProof/>
                        </w:rPr>
                        <w:t xml:space="preserve">chool, </w:t>
                      </w:r>
                      <w:r w:rsidR="003E3D87" w:rsidRPr="0021416E">
                        <w:rPr>
                          <w:rFonts w:ascii="Calibri" w:eastAsia="Calibri" w:hAnsi="Calibri" w:cs="Times New Roman"/>
                          <w:noProof/>
                        </w:rPr>
                        <w:t>p</w:t>
                      </w:r>
                      <w:r w:rsidRPr="0021416E">
                        <w:rPr>
                          <w:rFonts w:ascii="Calibri" w:eastAsia="Calibri" w:hAnsi="Calibri" w:cs="Times New Roman"/>
                          <w:noProof/>
                        </w:rPr>
                        <w:t>artnership and Local Authority quality assurance checks on APs value the diversity of provision. There is no expectation that you formally use the tool kit, have a standard policy document nor share any self-audit with others.  We hope that it will enable you to strengthen your practice and allow you, when asked, to present evidence of self-evaluation.</w:t>
                      </w:r>
                    </w:p>
                    <w:p w14:paraId="47993046" w14:textId="77777777" w:rsidR="00ED4124" w:rsidRPr="0021416E" w:rsidRDefault="00ED4124" w:rsidP="00ED4124"/>
                  </w:txbxContent>
                </v:textbox>
                <w10:wrap type="square" anchorx="margin" anchory="margin"/>
              </v:shape>
            </w:pict>
          </mc:Fallback>
        </mc:AlternateContent>
      </w:r>
      <w:r>
        <w:rPr>
          <w:noProof/>
        </w:rPr>
        <w:drawing>
          <wp:inline distT="0" distB="0" distL="0" distR="0" wp14:anchorId="70C99C8F" wp14:editId="01880A7F">
            <wp:extent cx="2994742" cy="1158282"/>
            <wp:effectExtent l="0" t="0" r="0" b="3810"/>
            <wp:docPr id="2" name="Picture 2" descr="Ma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1745" cy="1184197"/>
                    </a:xfrm>
                    <a:prstGeom prst="rect">
                      <a:avLst/>
                    </a:prstGeom>
                  </pic:spPr>
                </pic:pic>
              </a:graphicData>
            </a:graphic>
          </wp:inline>
        </w:drawing>
      </w:r>
    </w:p>
    <w:p w14:paraId="71B41153" w14:textId="77777777" w:rsidR="00ED4124" w:rsidRPr="001E07E9" w:rsidRDefault="00ED4124" w:rsidP="00ED4124">
      <w:pPr>
        <w:rPr>
          <w:sz w:val="28"/>
          <w:szCs w:val="28"/>
        </w:rPr>
      </w:pPr>
      <w:bookmarkStart w:id="0" w:name="_Hlk132970311"/>
    </w:p>
    <w:bookmarkEnd w:id="0"/>
    <w:p w14:paraId="240994E4" w14:textId="77777777" w:rsidR="00ED4124" w:rsidRPr="006802C9" w:rsidRDefault="00ED4124" w:rsidP="00ED4124">
      <w:pPr>
        <w:jc w:val="center"/>
        <w:rPr>
          <w:b/>
          <w:bCs/>
          <w:sz w:val="48"/>
          <w:szCs w:val="48"/>
          <w:u w:val="single"/>
        </w:rPr>
      </w:pPr>
      <w:r w:rsidRPr="006802C9">
        <w:rPr>
          <w:b/>
          <w:bCs/>
          <w:sz w:val="48"/>
          <w:szCs w:val="48"/>
          <w:u w:val="single"/>
        </w:rPr>
        <w:t>SUPPORTING ALTERNATIVE PROVIDERS</w:t>
      </w:r>
    </w:p>
    <w:p w14:paraId="1EA1AC7F" w14:textId="77777777" w:rsidR="00ED4124" w:rsidRPr="006802C9" w:rsidRDefault="00ED4124" w:rsidP="00ED4124">
      <w:pPr>
        <w:jc w:val="center"/>
        <w:rPr>
          <w:b/>
          <w:bCs/>
          <w:sz w:val="48"/>
          <w:szCs w:val="48"/>
          <w:u w:val="single"/>
        </w:rPr>
      </w:pPr>
    </w:p>
    <w:p w14:paraId="3B634A6C" w14:textId="30DC8019" w:rsidR="00ED4124" w:rsidRPr="006802C9" w:rsidRDefault="00ED4124" w:rsidP="00ED4124">
      <w:pPr>
        <w:jc w:val="center"/>
        <w:rPr>
          <w:b/>
          <w:bCs/>
          <w:sz w:val="48"/>
          <w:szCs w:val="48"/>
          <w:u w:val="single"/>
        </w:rPr>
      </w:pPr>
      <w:r>
        <w:rPr>
          <w:b/>
          <w:bCs/>
          <w:sz w:val="48"/>
          <w:szCs w:val="48"/>
          <w:u w:val="single"/>
        </w:rPr>
        <w:t>TEACHING AND LEARNING POLICY</w:t>
      </w:r>
    </w:p>
    <w:p w14:paraId="5CD94E1C" w14:textId="3A802BBE" w:rsidR="00ED4124" w:rsidRDefault="00ED4124">
      <w:r>
        <w:br w:type="page"/>
      </w:r>
    </w:p>
    <w:p w14:paraId="621AE92B" w14:textId="77777777" w:rsidR="00ED4124" w:rsidRDefault="00ED4124" w:rsidP="0072614A">
      <w:pPr>
        <w:ind w:left="720" w:hanging="360"/>
      </w:pPr>
    </w:p>
    <w:p w14:paraId="0F5C3C6B" w14:textId="30A98495" w:rsidR="00ED4124" w:rsidRPr="0021416E" w:rsidRDefault="00ED4124" w:rsidP="0072614A">
      <w:pPr>
        <w:pStyle w:val="ListParagraph"/>
        <w:numPr>
          <w:ilvl w:val="0"/>
          <w:numId w:val="2"/>
        </w:numPr>
        <w:rPr>
          <w:b/>
          <w:bCs/>
          <w:u w:val="single"/>
        </w:rPr>
      </w:pPr>
      <w:r w:rsidRPr="0021416E">
        <w:rPr>
          <w:b/>
          <w:bCs/>
          <w:u w:val="single"/>
        </w:rPr>
        <w:t>Key Principles</w:t>
      </w:r>
    </w:p>
    <w:p w14:paraId="60D3D85B" w14:textId="41639CE4" w:rsidR="00FD736D" w:rsidRPr="0021416E" w:rsidRDefault="00FD736D" w:rsidP="00ED4124">
      <w:pPr>
        <w:rPr>
          <w:b/>
          <w:bCs/>
        </w:rPr>
      </w:pPr>
      <w:r w:rsidRPr="0021416E">
        <w:rPr>
          <w:b/>
          <w:bCs/>
        </w:rPr>
        <w:t>Goal: Behaviour Improvement and Re – engagement</w:t>
      </w:r>
    </w:p>
    <w:p w14:paraId="3471B158" w14:textId="14159911" w:rsidR="009A3815" w:rsidRPr="0021416E" w:rsidRDefault="009A3815" w:rsidP="00ED4124">
      <w:r w:rsidRPr="0021416E">
        <w:t>Children and young people usually find themselves in Alternative Provision “in order to improve their behaviour”.  Many of them have become disenchanted with school life and disengaged from learning.  As a result</w:t>
      </w:r>
      <w:r w:rsidR="003E3D87" w:rsidRPr="0021416E">
        <w:t>,</w:t>
      </w:r>
      <w:r w:rsidRPr="0021416E">
        <w:t xml:space="preserve"> the learning experiences they receive at Alternative Settings must have as a goal behaviour improvement and re-engagement in learning.</w:t>
      </w:r>
    </w:p>
    <w:p w14:paraId="395FD6E0" w14:textId="4A03FFD4" w:rsidR="00FD736D" w:rsidRPr="0021416E" w:rsidRDefault="00FD736D" w:rsidP="009A3815">
      <w:pPr>
        <w:rPr>
          <w:b/>
          <w:bCs/>
        </w:rPr>
      </w:pPr>
      <w:r w:rsidRPr="0021416E">
        <w:rPr>
          <w:b/>
          <w:bCs/>
        </w:rPr>
        <w:t>Goal: Rich learning experiences - vital for future life chances</w:t>
      </w:r>
    </w:p>
    <w:p w14:paraId="72502244" w14:textId="30A0637E" w:rsidR="00ED4124" w:rsidRPr="0021416E" w:rsidRDefault="009A3815" w:rsidP="009A3815">
      <w:r w:rsidRPr="0021416E">
        <w:t xml:space="preserve">At the same time these learners are having life chances limited because they are not accessing the curriculum available to their peers, nor working towards the range of qualifications that will open a wide range of pathways for their future.  It is vital that the learning activities that they experience in their alternative programme offer real educational benefit and whenever possible secure </w:t>
      </w:r>
      <w:r w:rsidR="00961EF8" w:rsidRPr="0021416E">
        <w:t xml:space="preserve">external </w:t>
      </w:r>
      <w:r w:rsidRPr="0021416E">
        <w:t>accreditation</w:t>
      </w:r>
      <w:r w:rsidR="00961EF8" w:rsidRPr="0021416E">
        <w:t>.</w:t>
      </w:r>
    </w:p>
    <w:p w14:paraId="1A35B687" w14:textId="54D49CA2" w:rsidR="00FD736D" w:rsidRPr="0021416E" w:rsidRDefault="00FD736D" w:rsidP="009A3815">
      <w:pPr>
        <w:rPr>
          <w:b/>
          <w:bCs/>
        </w:rPr>
      </w:pPr>
      <w:r w:rsidRPr="0021416E">
        <w:rPr>
          <w:b/>
          <w:bCs/>
        </w:rPr>
        <w:t>Goal: Effectively delivered learning = effective education</w:t>
      </w:r>
    </w:p>
    <w:p w14:paraId="52F48F94" w14:textId="299D7F9F" w:rsidR="00961EF8" w:rsidRPr="0021416E" w:rsidRDefault="00961EF8" w:rsidP="009A3815">
      <w:r w:rsidRPr="0021416E">
        <w:t>The same range of imperatives therefore exist for those who deliver learning in AP settings as in schools and colleges; how to set high expectations, ensure that instruction is effective, that learners master what they are learning and that it sticks. Those delivering the learning must be able to accurately judge the progress learners are making and help them overcome barriers arising from misunderstandings or their additional needs by planning well and adapting as they go.</w:t>
      </w:r>
    </w:p>
    <w:p w14:paraId="39589F5C" w14:textId="3EB361D4" w:rsidR="00FD736D" w:rsidRPr="0021416E" w:rsidRDefault="00FD736D" w:rsidP="009A3815">
      <w:pPr>
        <w:rPr>
          <w:b/>
          <w:bCs/>
        </w:rPr>
      </w:pPr>
      <w:r w:rsidRPr="0021416E">
        <w:rPr>
          <w:b/>
          <w:bCs/>
        </w:rPr>
        <w:t xml:space="preserve">Goal: Accurate feedback on progress = well planned provision </w:t>
      </w:r>
    </w:p>
    <w:p w14:paraId="6CCB4453" w14:textId="1013A66E" w:rsidR="00961EF8" w:rsidRPr="0021416E" w:rsidRDefault="00961EF8" w:rsidP="009A3815">
      <w:r w:rsidRPr="0021416E">
        <w:t>An AP course forms a part of a matrix of provision with the aim of contributing to a “whole learner” programme.  A</w:t>
      </w:r>
      <w:r w:rsidR="003E3D87" w:rsidRPr="0021416E">
        <w:t>P</w:t>
      </w:r>
      <w:r w:rsidRPr="0021416E">
        <w:t>s need to be able to describe and report on the progress each learner is making to inform the evaluation of the whole programme</w:t>
      </w:r>
      <w:r w:rsidR="003B35B6" w:rsidRPr="0021416E">
        <w:t xml:space="preserve"> as well as evaluate their part of the programme</w:t>
      </w:r>
    </w:p>
    <w:p w14:paraId="23928B4C" w14:textId="216DDC31" w:rsidR="00FD736D" w:rsidRPr="0021416E" w:rsidRDefault="00FD736D" w:rsidP="009A3815">
      <w:pPr>
        <w:rPr>
          <w:b/>
          <w:bCs/>
        </w:rPr>
      </w:pPr>
      <w:r w:rsidRPr="0021416E">
        <w:rPr>
          <w:b/>
          <w:bCs/>
        </w:rPr>
        <w:t>Goal: Self Evaluation - key to improvement</w:t>
      </w:r>
    </w:p>
    <w:p w14:paraId="3192BD4C" w14:textId="381C7D42" w:rsidR="00961EF8" w:rsidRPr="0021416E" w:rsidRDefault="00961EF8" w:rsidP="009A3815">
      <w:r w:rsidRPr="0021416E">
        <w:t>The learning activities delivered by the AP are its core function and need to be subject to self</w:t>
      </w:r>
      <w:r w:rsidR="003E3D87" w:rsidRPr="0021416E">
        <w:t>-</w:t>
      </w:r>
      <w:r w:rsidRPr="0021416E">
        <w:t>evaluation</w:t>
      </w:r>
      <w:r w:rsidR="00FD736D" w:rsidRPr="0021416E">
        <w:t>.</w:t>
      </w:r>
    </w:p>
    <w:p w14:paraId="2357B972" w14:textId="4E6DBFE8" w:rsidR="00ED4124" w:rsidRPr="0021416E" w:rsidRDefault="00ED4124" w:rsidP="00FD736D">
      <w:pPr>
        <w:rPr>
          <w:b/>
          <w:bCs/>
          <w:u w:val="single"/>
        </w:rPr>
      </w:pPr>
    </w:p>
    <w:p w14:paraId="0A999E00" w14:textId="77777777" w:rsidR="00FD736D" w:rsidRPr="0021416E" w:rsidRDefault="00FD736D" w:rsidP="00FD736D">
      <w:pPr>
        <w:ind w:left="360"/>
        <w:rPr>
          <w:b/>
          <w:bCs/>
          <w:u w:val="single"/>
        </w:rPr>
      </w:pPr>
    </w:p>
    <w:p w14:paraId="7188385C" w14:textId="77777777" w:rsidR="00FD736D" w:rsidRPr="0021416E" w:rsidRDefault="00FD736D" w:rsidP="00FD736D">
      <w:pPr>
        <w:ind w:left="360"/>
        <w:rPr>
          <w:b/>
          <w:bCs/>
          <w:u w:val="single"/>
        </w:rPr>
      </w:pPr>
    </w:p>
    <w:p w14:paraId="6658DE77" w14:textId="77777777" w:rsidR="00FD736D" w:rsidRPr="0021416E" w:rsidRDefault="00FD736D" w:rsidP="00FD736D">
      <w:pPr>
        <w:ind w:left="360"/>
        <w:rPr>
          <w:b/>
          <w:bCs/>
          <w:u w:val="single"/>
        </w:rPr>
      </w:pPr>
    </w:p>
    <w:p w14:paraId="201FDF94" w14:textId="77777777" w:rsidR="00FD736D" w:rsidRPr="0021416E" w:rsidRDefault="00FD736D" w:rsidP="00FD736D">
      <w:pPr>
        <w:ind w:left="360"/>
        <w:rPr>
          <w:b/>
          <w:bCs/>
          <w:u w:val="single"/>
        </w:rPr>
      </w:pPr>
    </w:p>
    <w:p w14:paraId="36ED1E00" w14:textId="3C77325E" w:rsidR="006C525C" w:rsidRPr="0021416E" w:rsidRDefault="006C525C" w:rsidP="006C525C">
      <w:pPr>
        <w:pStyle w:val="ListParagraph"/>
        <w:ind w:left="1440"/>
      </w:pPr>
    </w:p>
    <w:p w14:paraId="711AC0AA" w14:textId="77777777" w:rsidR="00287039" w:rsidRPr="0021416E" w:rsidRDefault="00287039" w:rsidP="00287039">
      <w:pPr>
        <w:pStyle w:val="ListParagraph"/>
        <w:numPr>
          <w:ilvl w:val="0"/>
          <w:numId w:val="2"/>
        </w:numPr>
        <w:rPr>
          <w:b/>
          <w:bCs/>
          <w:u w:val="single"/>
        </w:rPr>
      </w:pPr>
      <w:r w:rsidRPr="0021416E">
        <w:rPr>
          <w:b/>
          <w:bCs/>
          <w:u w:val="single"/>
        </w:rPr>
        <w:t>Audit Tool</w:t>
      </w:r>
    </w:p>
    <w:p w14:paraId="2A5E2475" w14:textId="2974F082" w:rsidR="00287039" w:rsidRPr="0021416E" w:rsidRDefault="00287039" w:rsidP="00287039">
      <w:pPr>
        <w:ind w:left="360"/>
      </w:pPr>
      <w:r w:rsidRPr="0021416E">
        <w:t xml:space="preserve">  This “</w:t>
      </w:r>
      <w:r w:rsidR="003E3D87" w:rsidRPr="0021416E">
        <w:t>Self-Audit</w:t>
      </w:r>
      <w:r w:rsidRPr="0021416E">
        <w:t xml:space="preserve"> Document” is designed to allow you to consider whether you policy and practice is effective</w:t>
      </w:r>
      <w:r w:rsidR="004A1144" w:rsidRPr="0021416E">
        <w:t>.</w:t>
      </w:r>
    </w:p>
    <w:tbl>
      <w:tblPr>
        <w:tblStyle w:val="TableGrid"/>
        <w:tblW w:w="0" w:type="auto"/>
        <w:tblLook w:val="04A0" w:firstRow="1" w:lastRow="0" w:firstColumn="1" w:lastColumn="0" w:noHBand="0" w:noVBand="1"/>
      </w:tblPr>
      <w:tblGrid>
        <w:gridCol w:w="5098"/>
        <w:gridCol w:w="1134"/>
        <w:gridCol w:w="1134"/>
        <w:gridCol w:w="1134"/>
        <w:gridCol w:w="5024"/>
      </w:tblGrid>
      <w:tr w:rsidR="0021416E" w:rsidRPr="0021416E" w14:paraId="0D41C56C" w14:textId="77777777" w:rsidTr="009F09BE">
        <w:tc>
          <w:tcPr>
            <w:tcW w:w="5098" w:type="dxa"/>
          </w:tcPr>
          <w:p w14:paraId="78A96927" w14:textId="77777777" w:rsidR="00287039" w:rsidRPr="0021416E" w:rsidRDefault="00287039" w:rsidP="009F09BE">
            <w:r w:rsidRPr="0021416E">
              <w:t>Audit Question</w:t>
            </w:r>
          </w:p>
        </w:tc>
        <w:tc>
          <w:tcPr>
            <w:tcW w:w="1134" w:type="dxa"/>
          </w:tcPr>
          <w:p w14:paraId="1633F668" w14:textId="77777777" w:rsidR="00287039" w:rsidRPr="0021416E" w:rsidRDefault="00287039" w:rsidP="009F09BE">
            <w:r w:rsidRPr="0021416E">
              <w:t>RED</w:t>
            </w:r>
          </w:p>
        </w:tc>
        <w:tc>
          <w:tcPr>
            <w:tcW w:w="1134" w:type="dxa"/>
          </w:tcPr>
          <w:p w14:paraId="6280A35C" w14:textId="77777777" w:rsidR="00287039" w:rsidRPr="0021416E" w:rsidRDefault="00287039" w:rsidP="009F09BE">
            <w:r w:rsidRPr="0021416E">
              <w:t>AMBER</w:t>
            </w:r>
          </w:p>
        </w:tc>
        <w:tc>
          <w:tcPr>
            <w:tcW w:w="1134" w:type="dxa"/>
          </w:tcPr>
          <w:p w14:paraId="7C07E75F" w14:textId="77777777" w:rsidR="00287039" w:rsidRPr="0021416E" w:rsidRDefault="00287039" w:rsidP="009F09BE">
            <w:r w:rsidRPr="0021416E">
              <w:t>GREEN</w:t>
            </w:r>
          </w:p>
        </w:tc>
        <w:tc>
          <w:tcPr>
            <w:tcW w:w="5024" w:type="dxa"/>
          </w:tcPr>
          <w:p w14:paraId="56441761" w14:textId="77777777" w:rsidR="00287039" w:rsidRPr="0021416E" w:rsidRDefault="00287039" w:rsidP="009F09BE">
            <w:r w:rsidRPr="0021416E">
              <w:t>Thoughts / Comments</w:t>
            </w:r>
          </w:p>
        </w:tc>
      </w:tr>
      <w:tr w:rsidR="0021416E" w:rsidRPr="0021416E" w14:paraId="30046756" w14:textId="77777777" w:rsidTr="009F09BE">
        <w:tc>
          <w:tcPr>
            <w:tcW w:w="5098" w:type="dxa"/>
          </w:tcPr>
          <w:p w14:paraId="2F3F8A44" w14:textId="12EAC92A" w:rsidR="00287039" w:rsidRPr="0021416E" w:rsidRDefault="00C03321" w:rsidP="009F09BE">
            <w:r w:rsidRPr="0021416E">
              <w:t xml:space="preserve">Learners can </w:t>
            </w:r>
            <w:r w:rsidR="00287039" w:rsidRPr="0021416E">
              <w:t>confident</w:t>
            </w:r>
            <w:r w:rsidRPr="0021416E">
              <w:t>ly describe the</w:t>
            </w:r>
            <w:r w:rsidR="00287039" w:rsidRPr="0021416E">
              <w:t xml:space="preserve"> qualification they are working towards </w:t>
            </w:r>
            <w:r w:rsidRPr="0021416E">
              <w:t>and the sort of activities that they will be involved in</w:t>
            </w:r>
            <w:r w:rsidR="00CF5402" w:rsidRPr="0021416E">
              <w:t>, in</w:t>
            </w:r>
            <w:r w:rsidRPr="0021416E">
              <w:t xml:space="preserve"> order to get the qualification</w:t>
            </w:r>
            <w:r w:rsidR="00CF5402" w:rsidRPr="0021416E">
              <w:t>?</w:t>
            </w:r>
          </w:p>
        </w:tc>
        <w:tc>
          <w:tcPr>
            <w:tcW w:w="1134" w:type="dxa"/>
          </w:tcPr>
          <w:p w14:paraId="33A817DD" w14:textId="77777777" w:rsidR="00287039" w:rsidRPr="0021416E" w:rsidRDefault="00287039" w:rsidP="009F09BE"/>
        </w:tc>
        <w:tc>
          <w:tcPr>
            <w:tcW w:w="1134" w:type="dxa"/>
          </w:tcPr>
          <w:p w14:paraId="52A845DC" w14:textId="77777777" w:rsidR="00287039" w:rsidRPr="0021416E" w:rsidRDefault="00287039" w:rsidP="009F09BE"/>
        </w:tc>
        <w:tc>
          <w:tcPr>
            <w:tcW w:w="1134" w:type="dxa"/>
          </w:tcPr>
          <w:p w14:paraId="1C8CFB31" w14:textId="77777777" w:rsidR="00287039" w:rsidRPr="0021416E" w:rsidRDefault="00287039" w:rsidP="009F09BE"/>
        </w:tc>
        <w:tc>
          <w:tcPr>
            <w:tcW w:w="5024" w:type="dxa"/>
          </w:tcPr>
          <w:p w14:paraId="7EC18E67" w14:textId="77777777" w:rsidR="00287039" w:rsidRPr="0021416E" w:rsidRDefault="00287039" w:rsidP="009F09BE"/>
          <w:p w14:paraId="678D3A59" w14:textId="346E18FE" w:rsidR="00C03321" w:rsidRPr="0021416E" w:rsidRDefault="00C03321" w:rsidP="009F09BE"/>
        </w:tc>
      </w:tr>
      <w:tr w:rsidR="0021416E" w:rsidRPr="0021416E" w14:paraId="3B118B27" w14:textId="77777777" w:rsidTr="009F09BE">
        <w:tc>
          <w:tcPr>
            <w:tcW w:w="5098" w:type="dxa"/>
          </w:tcPr>
          <w:p w14:paraId="33FD2383" w14:textId="6232A48C" w:rsidR="00287039" w:rsidRPr="0021416E" w:rsidRDefault="00C03321" w:rsidP="009F09BE">
            <w:r w:rsidRPr="0021416E">
              <w:t>A</w:t>
            </w:r>
            <w:r w:rsidR="00287039" w:rsidRPr="0021416E">
              <w:t xml:space="preserve">ll those who work with the learners </w:t>
            </w:r>
            <w:r w:rsidRPr="0021416E">
              <w:t xml:space="preserve">are </w:t>
            </w:r>
            <w:r w:rsidR="00287039" w:rsidRPr="0021416E">
              <w:t>clear on the overall aims of the offer you make</w:t>
            </w:r>
            <w:r w:rsidR="00CF5402" w:rsidRPr="0021416E">
              <w:t>?</w:t>
            </w:r>
          </w:p>
        </w:tc>
        <w:tc>
          <w:tcPr>
            <w:tcW w:w="1134" w:type="dxa"/>
          </w:tcPr>
          <w:p w14:paraId="11482731" w14:textId="77777777" w:rsidR="00287039" w:rsidRPr="0021416E" w:rsidRDefault="00287039" w:rsidP="009F09BE"/>
        </w:tc>
        <w:tc>
          <w:tcPr>
            <w:tcW w:w="1134" w:type="dxa"/>
          </w:tcPr>
          <w:p w14:paraId="18144B09" w14:textId="77777777" w:rsidR="00287039" w:rsidRPr="0021416E" w:rsidRDefault="00287039" w:rsidP="009F09BE"/>
        </w:tc>
        <w:tc>
          <w:tcPr>
            <w:tcW w:w="1134" w:type="dxa"/>
          </w:tcPr>
          <w:p w14:paraId="5D8F4FA4" w14:textId="77777777" w:rsidR="00287039" w:rsidRPr="0021416E" w:rsidRDefault="00287039" w:rsidP="009F09BE"/>
        </w:tc>
        <w:tc>
          <w:tcPr>
            <w:tcW w:w="5024" w:type="dxa"/>
          </w:tcPr>
          <w:p w14:paraId="5DEF2955" w14:textId="77777777" w:rsidR="00287039" w:rsidRPr="0021416E" w:rsidRDefault="00287039" w:rsidP="009F09BE"/>
        </w:tc>
      </w:tr>
      <w:tr w:rsidR="0021416E" w:rsidRPr="0021416E" w14:paraId="34A3CBDC" w14:textId="77777777" w:rsidTr="009F09BE">
        <w:tc>
          <w:tcPr>
            <w:tcW w:w="5098" w:type="dxa"/>
          </w:tcPr>
          <w:p w14:paraId="522A41BC" w14:textId="618DEC31" w:rsidR="00287039" w:rsidRPr="0021416E" w:rsidRDefault="00C03321" w:rsidP="009F09BE">
            <w:r w:rsidRPr="0021416E">
              <w:t>L</w:t>
            </w:r>
            <w:r w:rsidR="00287039" w:rsidRPr="0021416E">
              <w:t xml:space="preserve">earners engage in learning activities quickly, knowing what is expected of them? </w:t>
            </w:r>
          </w:p>
        </w:tc>
        <w:tc>
          <w:tcPr>
            <w:tcW w:w="1134" w:type="dxa"/>
          </w:tcPr>
          <w:p w14:paraId="3A289D5E" w14:textId="77777777" w:rsidR="00287039" w:rsidRPr="0021416E" w:rsidRDefault="00287039" w:rsidP="009F09BE"/>
        </w:tc>
        <w:tc>
          <w:tcPr>
            <w:tcW w:w="1134" w:type="dxa"/>
          </w:tcPr>
          <w:p w14:paraId="4329F158" w14:textId="77777777" w:rsidR="00287039" w:rsidRPr="0021416E" w:rsidRDefault="00287039" w:rsidP="009F09BE"/>
        </w:tc>
        <w:tc>
          <w:tcPr>
            <w:tcW w:w="1134" w:type="dxa"/>
          </w:tcPr>
          <w:p w14:paraId="3B1CA0C6" w14:textId="77777777" w:rsidR="00287039" w:rsidRPr="0021416E" w:rsidRDefault="00287039" w:rsidP="009F09BE"/>
        </w:tc>
        <w:tc>
          <w:tcPr>
            <w:tcW w:w="5024" w:type="dxa"/>
          </w:tcPr>
          <w:p w14:paraId="5450A3AB" w14:textId="77777777" w:rsidR="00287039" w:rsidRPr="0021416E" w:rsidRDefault="00287039" w:rsidP="009F09BE"/>
        </w:tc>
      </w:tr>
      <w:tr w:rsidR="0021416E" w:rsidRPr="0021416E" w14:paraId="4FC511C2" w14:textId="77777777" w:rsidTr="009F09BE">
        <w:tc>
          <w:tcPr>
            <w:tcW w:w="5098" w:type="dxa"/>
          </w:tcPr>
          <w:p w14:paraId="0AD0909D" w14:textId="4BDF82A0" w:rsidR="00287039" w:rsidRPr="0021416E" w:rsidRDefault="00C03321" w:rsidP="009F09BE">
            <w:r w:rsidRPr="0021416E">
              <w:t>Procedures at the start of activities support learners in engaging quickly</w:t>
            </w:r>
            <w:r w:rsidR="00CF5402" w:rsidRPr="0021416E">
              <w:t>?</w:t>
            </w:r>
          </w:p>
        </w:tc>
        <w:tc>
          <w:tcPr>
            <w:tcW w:w="1134" w:type="dxa"/>
          </w:tcPr>
          <w:p w14:paraId="7E489AC4" w14:textId="77777777" w:rsidR="00287039" w:rsidRPr="0021416E" w:rsidRDefault="00287039" w:rsidP="009F09BE"/>
        </w:tc>
        <w:tc>
          <w:tcPr>
            <w:tcW w:w="1134" w:type="dxa"/>
          </w:tcPr>
          <w:p w14:paraId="42665933" w14:textId="77777777" w:rsidR="00287039" w:rsidRPr="0021416E" w:rsidRDefault="00287039" w:rsidP="009F09BE"/>
        </w:tc>
        <w:tc>
          <w:tcPr>
            <w:tcW w:w="1134" w:type="dxa"/>
          </w:tcPr>
          <w:p w14:paraId="6B78C713" w14:textId="77777777" w:rsidR="00287039" w:rsidRPr="0021416E" w:rsidRDefault="00287039" w:rsidP="009F09BE"/>
        </w:tc>
        <w:tc>
          <w:tcPr>
            <w:tcW w:w="5024" w:type="dxa"/>
          </w:tcPr>
          <w:p w14:paraId="137A2408" w14:textId="77777777" w:rsidR="00287039" w:rsidRPr="0021416E" w:rsidRDefault="00287039" w:rsidP="009F09BE"/>
        </w:tc>
      </w:tr>
      <w:tr w:rsidR="0021416E" w:rsidRPr="0021416E" w14:paraId="3325C44E" w14:textId="77777777" w:rsidTr="009F09BE">
        <w:tc>
          <w:tcPr>
            <w:tcW w:w="5098" w:type="dxa"/>
          </w:tcPr>
          <w:p w14:paraId="56472AEC" w14:textId="58A2FFF4" w:rsidR="00287039" w:rsidRPr="0021416E" w:rsidRDefault="00C03321" w:rsidP="009F09BE">
            <w:r w:rsidRPr="0021416E">
              <w:t>Arrangements for storing and accessing learners’ work are effective</w:t>
            </w:r>
            <w:r w:rsidR="00CF5402" w:rsidRPr="0021416E">
              <w:t>?</w:t>
            </w:r>
          </w:p>
        </w:tc>
        <w:tc>
          <w:tcPr>
            <w:tcW w:w="1134" w:type="dxa"/>
          </w:tcPr>
          <w:p w14:paraId="03468BB6" w14:textId="77777777" w:rsidR="00287039" w:rsidRPr="0021416E" w:rsidRDefault="00287039" w:rsidP="009F09BE"/>
        </w:tc>
        <w:tc>
          <w:tcPr>
            <w:tcW w:w="1134" w:type="dxa"/>
          </w:tcPr>
          <w:p w14:paraId="446A6EC7" w14:textId="77777777" w:rsidR="00287039" w:rsidRPr="0021416E" w:rsidRDefault="00287039" w:rsidP="009F09BE"/>
        </w:tc>
        <w:tc>
          <w:tcPr>
            <w:tcW w:w="1134" w:type="dxa"/>
          </w:tcPr>
          <w:p w14:paraId="4228A1D6" w14:textId="77777777" w:rsidR="00287039" w:rsidRPr="0021416E" w:rsidRDefault="00287039" w:rsidP="009F09BE"/>
        </w:tc>
        <w:tc>
          <w:tcPr>
            <w:tcW w:w="5024" w:type="dxa"/>
          </w:tcPr>
          <w:p w14:paraId="2BD55B8C" w14:textId="77777777" w:rsidR="00287039" w:rsidRPr="0021416E" w:rsidRDefault="00287039" w:rsidP="009F09BE"/>
        </w:tc>
      </w:tr>
      <w:tr w:rsidR="0021416E" w:rsidRPr="0021416E" w14:paraId="70903402" w14:textId="77777777" w:rsidTr="009F09BE">
        <w:tc>
          <w:tcPr>
            <w:tcW w:w="5098" w:type="dxa"/>
          </w:tcPr>
          <w:p w14:paraId="4AE8B1E3" w14:textId="00420697" w:rsidR="00287039" w:rsidRPr="0021416E" w:rsidRDefault="00C03321" w:rsidP="009F09BE">
            <w:r w:rsidRPr="0021416E">
              <w:t>Staff plan the learning activities carefully and confidently in a way that ensures learning is well paced and effective</w:t>
            </w:r>
            <w:r w:rsidR="00CF5402" w:rsidRPr="0021416E">
              <w:t>?</w:t>
            </w:r>
          </w:p>
        </w:tc>
        <w:tc>
          <w:tcPr>
            <w:tcW w:w="1134" w:type="dxa"/>
          </w:tcPr>
          <w:p w14:paraId="5BFD2B3A" w14:textId="77777777" w:rsidR="00287039" w:rsidRPr="0021416E" w:rsidRDefault="00287039" w:rsidP="009F09BE"/>
        </w:tc>
        <w:tc>
          <w:tcPr>
            <w:tcW w:w="1134" w:type="dxa"/>
          </w:tcPr>
          <w:p w14:paraId="1A704124" w14:textId="77777777" w:rsidR="00287039" w:rsidRPr="0021416E" w:rsidRDefault="00287039" w:rsidP="009F09BE"/>
        </w:tc>
        <w:tc>
          <w:tcPr>
            <w:tcW w:w="1134" w:type="dxa"/>
          </w:tcPr>
          <w:p w14:paraId="5F7FB939" w14:textId="77777777" w:rsidR="00287039" w:rsidRPr="0021416E" w:rsidRDefault="00287039" w:rsidP="009F09BE"/>
        </w:tc>
        <w:tc>
          <w:tcPr>
            <w:tcW w:w="5024" w:type="dxa"/>
          </w:tcPr>
          <w:p w14:paraId="41F1B3EC" w14:textId="77777777" w:rsidR="00287039" w:rsidRPr="0021416E" w:rsidRDefault="00287039" w:rsidP="009F09BE"/>
        </w:tc>
      </w:tr>
      <w:tr w:rsidR="0021416E" w:rsidRPr="0021416E" w14:paraId="3DFB1D1E" w14:textId="77777777" w:rsidTr="009F09BE">
        <w:tc>
          <w:tcPr>
            <w:tcW w:w="5098" w:type="dxa"/>
          </w:tcPr>
          <w:p w14:paraId="0E462341" w14:textId="00038542" w:rsidR="004A1144" w:rsidRPr="0021416E" w:rsidRDefault="004A1144" w:rsidP="009F09BE">
            <w:r w:rsidRPr="0021416E">
              <w:t>Staff make good judgements about the level of challenge required to sustain learners’ engagement and progress</w:t>
            </w:r>
            <w:r w:rsidR="00CF5402" w:rsidRPr="0021416E">
              <w:t>?</w:t>
            </w:r>
          </w:p>
        </w:tc>
        <w:tc>
          <w:tcPr>
            <w:tcW w:w="1134" w:type="dxa"/>
          </w:tcPr>
          <w:p w14:paraId="33C31B6D" w14:textId="77777777" w:rsidR="004A1144" w:rsidRPr="0021416E" w:rsidRDefault="004A1144" w:rsidP="009F09BE"/>
        </w:tc>
        <w:tc>
          <w:tcPr>
            <w:tcW w:w="1134" w:type="dxa"/>
          </w:tcPr>
          <w:p w14:paraId="5F0001E2" w14:textId="77777777" w:rsidR="004A1144" w:rsidRPr="0021416E" w:rsidRDefault="004A1144" w:rsidP="009F09BE"/>
        </w:tc>
        <w:tc>
          <w:tcPr>
            <w:tcW w:w="1134" w:type="dxa"/>
          </w:tcPr>
          <w:p w14:paraId="1E551A6A" w14:textId="77777777" w:rsidR="004A1144" w:rsidRPr="0021416E" w:rsidRDefault="004A1144" w:rsidP="009F09BE"/>
        </w:tc>
        <w:tc>
          <w:tcPr>
            <w:tcW w:w="5024" w:type="dxa"/>
          </w:tcPr>
          <w:p w14:paraId="41E309C8" w14:textId="77777777" w:rsidR="004A1144" w:rsidRPr="0021416E" w:rsidRDefault="004A1144" w:rsidP="009F09BE"/>
        </w:tc>
      </w:tr>
      <w:tr w:rsidR="0021416E" w:rsidRPr="0021416E" w14:paraId="3F529631" w14:textId="77777777" w:rsidTr="009F09BE">
        <w:tc>
          <w:tcPr>
            <w:tcW w:w="5098" w:type="dxa"/>
          </w:tcPr>
          <w:p w14:paraId="6728114F" w14:textId="221BE383" w:rsidR="00287039" w:rsidRPr="0021416E" w:rsidRDefault="00C03321" w:rsidP="009F09BE">
            <w:r w:rsidRPr="0021416E">
              <w:t>Staff know the individual SEND of learners and make appropriate and effective modifications of learning activities</w:t>
            </w:r>
            <w:r w:rsidR="00CF5402" w:rsidRPr="0021416E">
              <w:t>?</w:t>
            </w:r>
          </w:p>
        </w:tc>
        <w:tc>
          <w:tcPr>
            <w:tcW w:w="1134" w:type="dxa"/>
          </w:tcPr>
          <w:p w14:paraId="072CE2C9" w14:textId="77777777" w:rsidR="00287039" w:rsidRPr="0021416E" w:rsidRDefault="00287039" w:rsidP="009F09BE"/>
        </w:tc>
        <w:tc>
          <w:tcPr>
            <w:tcW w:w="1134" w:type="dxa"/>
          </w:tcPr>
          <w:p w14:paraId="6004FFC0" w14:textId="77777777" w:rsidR="00287039" w:rsidRPr="0021416E" w:rsidRDefault="00287039" w:rsidP="009F09BE"/>
        </w:tc>
        <w:tc>
          <w:tcPr>
            <w:tcW w:w="1134" w:type="dxa"/>
          </w:tcPr>
          <w:p w14:paraId="3AD45493" w14:textId="77777777" w:rsidR="00287039" w:rsidRPr="0021416E" w:rsidRDefault="00287039" w:rsidP="009F09BE"/>
        </w:tc>
        <w:tc>
          <w:tcPr>
            <w:tcW w:w="5024" w:type="dxa"/>
          </w:tcPr>
          <w:p w14:paraId="7EBD4D7C" w14:textId="77777777" w:rsidR="00287039" w:rsidRPr="0021416E" w:rsidRDefault="00287039" w:rsidP="009F09BE"/>
        </w:tc>
      </w:tr>
      <w:tr w:rsidR="0021416E" w:rsidRPr="0021416E" w14:paraId="14B4BFC7" w14:textId="77777777" w:rsidTr="009F09BE">
        <w:tc>
          <w:tcPr>
            <w:tcW w:w="5098" w:type="dxa"/>
          </w:tcPr>
          <w:p w14:paraId="5E58B149" w14:textId="1EE5C4CF" w:rsidR="00287039" w:rsidRPr="0021416E" w:rsidRDefault="00C03321" w:rsidP="009F09BE">
            <w:r w:rsidRPr="0021416E">
              <w:t xml:space="preserve">Staff make sure that they spot any </w:t>
            </w:r>
            <w:r w:rsidR="00CF5402" w:rsidRPr="0021416E">
              <w:t>errors, misconceptions</w:t>
            </w:r>
            <w:r w:rsidRPr="0021416E">
              <w:t xml:space="preserve"> and difficulties that learners encounter and work to overcome these</w:t>
            </w:r>
            <w:r w:rsidR="00CF5402" w:rsidRPr="0021416E">
              <w:t>?</w:t>
            </w:r>
          </w:p>
        </w:tc>
        <w:tc>
          <w:tcPr>
            <w:tcW w:w="1134" w:type="dxa"/>
          </w:tcPr>
          <w:p w14:paraId="0B963569" w14:textId="77777777" w:rsidR="00287039" w:rsidRPr="0021416E" w:rsidRDefault="00287039" w:rsidP="009F09BE"/>
        </w:tc>
        <w:tc>
          <w:tcPr>
            <w:tcW w:w="1134" w:type="dxa"/>
          </w:tcPr>
          <w:p w14:paraId="1C8BA23D" w14:textId="77777777" w:rsidR="00287039" w:rsidRPr="0021416E" w:rsidRDefault="00287039" w:rsidP="009F09BE"/>
        </w:tc>
        <w:tc>
          <w:tcPr>
            <w:tcW w:w="1134" w:type="dxa"/>
          </w:tcPr>
          <w:p w14:paraId="33DBAE44" w14:textId="77777777" w:rsidR="00287039" w:rsidRPr="0021416E" w:rsidRDefault="00287039" w:rsidP="009F09BE"/>
        </w:tc>
        <w:tc>
          <w:tcPr>
            <w:tcW w:w="5024" w:type="dxa"/>
          </w:tcPr>
          <w:p w14:paraId="0DB931B6" w14:textId="77777777" w:rsidR="00287039" w:rsidRPr="0021416E" w:rsidRDefault="00287039" w:rsidP="009F09BE"/>
        </w:tc>
      </w:tr>
      <w:tr w:rsidR="0021416E" w:rsidRPr="0021416E" w14:paraId="144CA955" w14:textId="77777777" w:rsidTr="009F09BE">
        <w:tc>
          <w:tcPr>
            <w:tcW w:w="5098" w:type="dxa"/>
          </w:tcPr>
          <w:p w14:paraId="752DF2A8" w14:textId="170BFF2E" w:rsidR="00287039" w:rsidRPr="0021416E" w:rsidRDefault="001577BE" w:rsidP="009F09BE">
            <w:r w:rsidRPr="0021416E">
              <w:lastRenderedPageBreak/>
              <w:t>Any other adults working to support learners are well briefed and focussed on enabling learners to succeed  and show awareness of the need to secure learners’ independence</w:t>
            </w:r>
            <w:r w:rsidR="00CF5402" w:rsidRPr="0021416E">
              <w:t>?</w:t>
            </w:r>
          </w:p>
        </w:tc>
        <w:tc>
          <w:tcPr>
            <w:tcW w:w="1134" w:type="dxa"/>
          </w:tcPr>
          <w:p w14:paraId="7EC30E2A" w14:textId="77777777" w:rsidR="00287039" w:rsidRPr="0021416E" w:rsidRDefault="00287039" w:rsidP="009F09BE"/>
        </w:tc>
        <w:tc>
          <w:tcPr>
            <w:tcW w:w="1134" w:type="dxa"/>
          </w:tcPr>
          <w:p w14:paraId="1C035A45" w14:textId="77777777" w:rsidR="00287039" w:rsidRPr="0021416E" w:rsidRDefault="00287039" w:rsidP="009F09BE"/>
        </w:tc>
        <w:tc>
          <w:tcPr>
            <w:tcW w:w="1134" w:type="dxa"/>
          </w:tcPr>
          <w:p w14:paraId="47AACA07" w14:textId="77777777" w:rsidR="00287039" w:rsidRPr="0021416E" w:rsidRDefault="00287039" w:rsidP="009F09BE"/>
        </w:tc>
        <w:tc>
          <w:tcPr>
            <w:tcW w:w="5024" w:type="dxa"/>
          </w:tcPr>
          <w:p w14:paraId="7E155AE3" w14:textId="77777777" w:rsidR="00287039" w:rsidRPr="0021416E" w:rsidRDefault="00287039" w:rsidP="009F09BE"/>
        </w:tc>
      </w:tr>
      <w:tr w:rsidR="0021416E" w:rsidRPr="0021416E" w14:paraId="5A8B765B" w14:textId="77777777" w:rsidTr="009F09BE">
        <w:tc>
          <w:tcPr>
            <w:tcW w:w="5098" w:type="dxa"/>
          </w:tcPr>
          <w:p w14:paraId="5C08E6E3" w14:textId="424935CB" w:rsidR="00287039" w:rsidRPr="0021416E" w:rsidRDefault="001577BE" w:rsidP="009F09BE">
            <w:r w:rsidRPr="0021416E">
              <w:t>The learning activity shows evidence of any AP wide approaches to learning, or common themes that have been adopted</w:t>
            </w:r>
            <w:r w:rsidR="00CF5402" w:rsidRPr="0021416E">
              <w:t>?</w:t>
            </w:r>
          </w:p>
        </w:tc>
        <w:tc>
          <w:tcPr>
            <w:tcW w:w="1134" w:type="dxa"/>
          </w:tcPr>
          <w:p w14:paraId="5C8E7777" w14:textId="77777777" w:rsidR="00287039" w:rsidRPr="0021416E" w:rsidRDefault="00287039" w:rsidP="009F09BE"/>
        </w:tc>
        <w:tc>
          <w:tcPr>
            <w:tcW w:w="1134" w:type="dxa"/>
          </w:tcPr>
          <w:p w14:paraId="608A0ABD" w14:textId="77777777" w:rsidR="00287039" w:rsidRPr="0021416E" w:rsidRDefault="00287039" w:rsidP="009F09BE"/>
        </w:tc>
        <w:tc>
          <w:tcPr>
            <w:tcW w:w="1134" w:type="dxa"/>
          </w:tcPr>
          <w:p w14:paraId="2ACACDD4" w14:textId="77777777" w:rsidR="00287039" w:rsidRPr="0021416E" w:rsidRDefault="00287039" w:rsidP="009F09BE"/>
        </w:tc>
        <w:tc>
          <w:tcPr>
            <w:tcW w:w="5024" w:type="dxa"/>
          </w:tcPr>
          <w:p w14:paraId="4146F756" w14:textId="77777777" w:rsidR="00287039" w:rsidRPr="0021416E" w:rsidRDefault="00287039" w:rsidP="009F09BE"/>
        </w:tc>
      </w:tr>
      <w:tr w:rsidR="0021416E" w:rsidRPr="0021416E" w14:paraId="5354F8A2" w14:textId="77777777" w:rsidTr="009F09BE">
        <w:tc>
          <w:tcPr>
            <w:tcW w:w="5098" w:type="dxa"/>
          </w:tcPr>
          <w:p w14:paraId="33487247" w14:textId="72F254F0" w:rsidR="00287039" w:rsidRPr="0021416E" w:rsidRDefault="001577BE" w:rsidP="009F09BE">
            <w:r w:rsidRPr="0021416E">
              <w:t>Learners can describe what they are doing well, what they are finding difficult and where they need to go next in their learning</w:t>
            </w:r>
            <w:r w:rsidR="00CF5402" w:rsidRPr="0021416E">
              <w:t>?</w:t>
            </w:r>
          </w:p>
        </w:tc>
        <w:tc>
          <w:tcPr>
            <w:tcW w:w="1134" w:type="dxa"/>
          </w:tcPr>
          <w:p w14:paraId="7D54D2E0" w14:textId="77777777" w:rsidR="00287039" w:rsidRPr="0021416E" w:rsidRDefault="00287039" w:rsidP="009F09BE"/>
        </w:tc>
        <w:tc>
          <w:tcPr>
            <w:tcW w:w="1134" w:type="dxa"/>
          </w:tcPr>
          <w:p w14:paraId="3A2AC759" w14:textId="77777777" w:rsidR="00287039" w:rsidRPr="0021416E" w:rsidRDefault="00287039" w:rsidP="009F09BE"/>
        </w:tc>
        <w:tc>
          <w:tcPr>
            <w:tcW w:w="1134" w:type="dxa"/>
          </w:tcPr>
          <w:p w14:paraId="162E716F" w14:textId="77777777" w:rsidR="00287039" w:rsidRPr="0021416E" w:rsidRDefault="00287039" w:rsidP="009F09BE"/>
        </w:tc>
        <w:tc>
          <w:tcPr>
            <w:tcW w:w="5024" w:type="dxa"/>
          </w:tcPr>
          <w:p w14:paraId="0EC26979" w14:textId="77777777" w:rsidR="00287039" w:rsidRPr="0021416E" w:rsidRDefault="00287039" w:rsidP="009F09BE"/>
        </w:tc>
      </w:tr>
      <w:tr w:rsidR="0021416E" w:rsidRPr="0021416E" w14:paraId="73EDDFFB" w14:textId="77777777" w:rsidTr="009F09BE">
        <w:tc>
          <w:tcPr>
            <w:tcW w:w="5098" w:type="dxa"/>
          </w:tcPr>
          <w:p w14:paraId="64CF1274" w14:textId="107C2F42" w:rsidR="004A1144" w:rsidRPr="0021416E" w:rsidRDefault="004A1144" w:rsidP="009F09BE">
            <w:r w:rsidRPr="0021416E">
              <w:t>Learners confidently engage with their learning and rise to challenges</w:t>
            </w:r>
            <w:r w:rsidR="00CF5402" w:rsidRPr="0021416E">
              <w:t>?</w:t>
            </w:r>
          </w:p>
        </w:tc>
        <w:tc>
          <w:tcPr>
            <w:tcW w:w="1134" w:type="dxa"/>
          </w:tcPr>
          <w:p w14:paraId="7703D5DD" w14:textId="77777777" w:rsidR="004A1144" w:rsidRPr="0021416E" w:rsidRDefault="004A1144" w:rsidP="009F09BE"/>
        </w:tc>
        <w:tc>
          <w:tcPr>
            <w:tcW w:w="1134" w:type="dxa"/>
          </w:tcPr>
          <w:p w14:paraId="69307B70" w14:textId="77777777" w:rsidR="004A1144" w:rsidRPr="0021416E" w:rsidRDefault="004A1144" w:rsidP="009F09BE"/>
        </w:tc>
        <w:tc>
          <w:tcPr>
            <w:tcW w:w="1134" w:type="dxa"/>
          </w:tcPr>
          <w:p w14:paraId="03FC7725" w14:textId="77777777" w:rsidR="004A1144" w:rsidRPr="0021416E" w:rsidRDefault="004A1144" w:rsidP="009F09BE"/>
        </w:tc>
        <w:tc>
          <w:tcPr>
            <w:tcW w:w="5024" w:type="dxa"/>
          </w:tcPr>
          <w:p w14:paraId="077378CC" w14:textId="77777777" w:rsidR="004A1144" w:rsidRPr="0021416E" w:rsidRDefault="004A1144" w:rsidP="009F09BE"/>
        </w:tc>
      </w:tr>
      <w:tr w:rsidR="0021416E" w:rsidRPr="0021416E" w14:paraId="639EF994" w14:textId="77777777" w:rsidTr="009F09BE">
        <w:tc>
          <w:tcPr>
            <w:tcW w:w="5098" w:type="dxa"/>
          </w:tcPr>
          <w:p w14:paraId="7DD34919" w14:textId="55B15E51" w:rsidR="00287039" w:rsidRPr="0021416E" w:rsidRDefault="001577BE" w:rsidP="009F09BE">
            <w:r w:rsidRPr="0021416E">
              <w:t>The system for assessing learners’ progress is accurate</w:t>
            </w:r>
            <w:r w:rsidR="00CF5402" w:rsidRPr="0021416E">
              <w:t>?</w:t>
            </w:r>
            <w:r w:rsidRPr="0021416E">
              <w:t xml:space="preserve"> </w:t>
            </w:r>
          </w:p>
        </w:tc>
        <w:tc>
          <w:tcPr>
            <w:tcW w:w="1134" w:type="dxa"/>
          </w:tcPr>
          <w:p w14:paraId="2DA833A7" w14:textId="77777777" w:rsidR="00287039" w:rsidRPr="0021416E" w:rsidRDefault="00287039" w:rsidP="009F09BE"/>
        </w:tc>
        <w:tc>
          <w:tcPr>
            <w:tcW w:w="1134" w:type="dxa"/>
          </w:tcPr>
          <w:p w14:paraId="28D252FA" w14:textId="77777777" w:rsidR="00287039" w:rsidRPr="0021416E" w:rsidRDefault="00287039" w:rsidP="009F09BE"/>
        </w:tc>
        <w:tc>
          <w:tcPr>
            <w:tcW w:w="1134" w:type="dxa"/>
          </w:tcPr>
          <w:p w14:paraId="27C61B56" w14:textId="77777777" w:rsidR="00287039" w:rsidRPr="0021416E" w:rsidRDefault="00287039" w:rsidP="009F09BE"/>
        </w:tc>
        <w:tc>
          <w:tcPr>
            <w:tcW w:w="5024" w:type="dxa"/>
          </w:tcPr>
          <w:p w14:paraId="761375E6" w14:textId="77777777" w:rsidR="00287039" w:rsidRPr="0021416E" w:rsidRDefault="00287039" w:rsidP="009F09BE"/>
        </w:tc>
      </w:tr>
      <w:tr w:rsidR="0021416E" w:rsidRPr="0021416E" w14:paraId="3FF1BAB4" w14:textId="77777777" w:rsidTr="009F09BE">
        <w:tc>
          <w:tcPr>
            <w:tcW w:w="5098" w:type="dxa"/>
          </w:tcPr>
          <w:p w14:paraId="64D99AE0" w14:textId="072DA4B0" w:rsidR="00287039" w:rsidRPr="0021416E" w:rsidRDefault="001577BE" w:rsidP="009F09BE">
            <w:r w:rsidRPr="0021416E">
              <w:t>The assessment system gives useful information to help inform next steps for the learner</w:t>
            </w:r>
            <w:r w:rsidR="00CF5402" w:rsidRPr="0021416E">
              <w:t>?</w:t>
            </w:r>
          </w:p>
        </w:tc>
        <w:tc>
          <w:tcPr>
            <w:tcW w:w="1134" w:type="dxa"/>
          </w:tcPr>
          <w:p w14:paraId="0B1763BD" w14:textId="77777777" w:rsidR="00287039" w:rsidRPr="0021416E" w:rsidRDefault="00287039" w:rsidP="009F09BE"/>
        </w:tc>
        <w:tc>
          <w:tcPr>
            <w:tcW w:w="1134" w:type="dxa"/>
          </w:tcPr>
          <w:p w14:paraId="1B59ED67" w14:textId="77777777" w:rsidR="00287039" w:rsidRPr="0021416E" w:rsidRDefault="00287039" w:rsidP="009F09BE"/>
        </w:tc>
        <w:tc>
          <w:tcPr>
            <w:tcW w:w="1134" w:type="dxa"/>
          </w:tcPr>
          <w:p w14:paraId="63F5548B" w14:textId="77777777" w:rsidR="00287039" w:rsidRPr="0021416E" w:rsidRDefault="00287039" w:rsidP="009F09BE"/>
        </w:tc>
        <w:tc>
          <w:tcPr>
            <w:tcW w:w="5024" w:type="dxa"/>
          </w:tcPr>
          <w:p w14:paraId="55B94750" w14:textId="77777777" w:rsidR="00287039" w:rsidRPr="0021416E" w:rsidRDefault="00287039" w:rsidP="009F09BE"/>
        </w:tc>
      </w:tr>
      <w:tr w:rsidR="0021416E" w:rsidRPr="0021416E" w14:paraId="12CEFB02" w14:textId="77777777" w:rsidTr="009F09BE">
        <w:tc>
          <w:tcPr>
            <w:tcW w:w="5098" w:type="dxa"/>
          </w:tcPr>
          <w:p w14:paraId="379461C9" w14:textId="13E8B279" w:rsidR="00287039" w:rsidRPr="0021416E" w:rsidRDefault="001577BE" w:rsidP="009F09BE">
            <w:r w:rsidRPr="0021416E">
              <w:t xml:space="preserve">The assessment system enables the AP to report confidently on progress to the learner, </w:t>
            </w:r>
            <w:r w:rsidR="00CF5402" w:rsidRPr="0021416E">
              <w:t>parents,</w:t>
            </w:r>
            <w:r w:rsidRPr="0021416E">
              <w:t xml:space="preserve"> and the commissioning organisation and in a way that assists in future planning</w:t>
            </w:r>
            <w:r w:rsidR="00CF5402" w:rsidRPr="0021416E">
              <w:t>?</w:t>
            </w:r>
          </w:p>
        </w:tc>
        <w:tc>
          <w:tcPr>
            <w:tcW w:w="1134" w:type="dxa"/>
          </w:tcPr>
          <w:p w14:paraId="5278200E" w14:textId="77777777" w:rsidR="00287039" w:rsidRPr="0021416E" w:rsidRDefault="00287039" w:rsidP="009F09BE"/>
        </w:tc>
        <w:tc>
          <w:tcPr>
            <w:tcW w:w="1134" w:type="dxa"/>
          </w:tcPr>
          <w:p w14:paraId="6572903A" w14:textId="77777777" w:rsidR="00287039" w:rsidRPr="0021416E" w:rsidRDefault="00287039" w:rsidP="009F09BE"/>
        </w:tc>
        <w:tc>
          <w:tcPr>
            <w:tcW w:w="1134" w:type="dxa"/>
          </w:tcPr>
          <w:p w14:paraId="7713E46C" w14:textId="77777777" w:rsidR="00287039" w:rsidRPr="0021416E" w:rsidRDefault="00287039" w:rsidP="009F09BE"/>
        </w:tc>
        <w:tc>
          <w:tcPr>
            <w:tcW w:w="5024" w:type="dxa"/>
          </w:tcPr>
          <w:p w14:paraId="512EFDE4" w14:textId="77777777" w:rsidR="00287039" w:rsidRPr="0021416E" w:rsidRDefault="00287039" w:rsidP="009F09BE"/>
        </w:tc>
      </w:tr>
      <w:tr w:rsidR="0021416E" w:rsidRPr="0021416E" w14:paraId="7567C96F" w14:textId="77777777" w:rsidTr="009F09BE">
        <w:tc>
          <w:tcPr>
            <w:tcW w:w="5098" w:type="dxa"/>
          </w:tcPr>
          <w:p w14:paraId="2E20D220" w14:textId="74E52C5E" w:rsidR="00287039" w:rsidRPr="0021416E" w:rsidRDefault="004A1144" w:rsidP="009F09BE">
            <w:r w:rsidRPr="0021416E">
              <w:t>The assessment system is used by leaders as one tool in evaluating the effectiveness of the provision</w:t>
            </w:r>
            <w:r w:rsidR="00CF5402" w:rsidRPr="0021416E">
              <w:t>?</w:t>
            </w:r>
          </w:p>
          <w:p w14:paraId="298033C6" w14:textId="1820671F" w:rsidR="001577BE" w:rsidRPr="0021416E" w:rsidRDefault="001577BE" w:rsidP="009F09BE"/>
        </w:tc>
        <w:tc>
          <w:tcPr>
            <w:tcW w:w="1134" w:type="dxa"/>
          </w:tcPr>
          <w:p w14:paraId="364F07AD" w14:textId="77777777" w:rsidR="00287039" w:rsidRPr="0021416E" w:rsidRDefault="00287039" w:rsidP="009F09BE"/>
        </w:tc>
        <w:tc>
          <w:tcPr>
            <w:tcW w:w="1134" w:type="dxa"/>
          </w:tcPr>
          <w:p w14:paraId="10E63C09" w14:textId="77777777" w:rsidR="00287039" w:rsidRPr="0021416E" w:rsidRDefault="00287039" w:rsidP="009F09BE"/>
        </w:tc>
        <w:tc>
          <w:tcPr>
            <w:tcW w:w="1134" w:type="dxa"/>
          </w:tcPr>
          <w:p w14:paraId="6B99E3FB" w14:textId="77777777" w:rsidR="00287039" w:rsidRPr="0021416E" w:rsidRDefault="00287039" w:rsidP="009F09BE"/>
        </w:tc>
        <w:tc>
          <w:tcPr>
            <w:tcW w:w="5024" w:type="dxa"/>
          </w:tcPr>
          <w:p w14:paraId="09CC15AA" w14:textId="77777777" w:rsidR="00287039" w:rsidRPr="0021416E" w:rsidRDefault="00287039" w:rsidP="009F09BE"/>
        </w:tc>
      </w:tr>
      <w:tr w:rsidR="0021416E" w:rsidRPr="0021416E" w14:paraId="37C490F5" w14:textId="77777777" w:rsidTr="009F09BE">
        <w:tc>
          <w:tcPr>
            <w:tcW w:w="5098" w:type="dxa"/>
          </w:tcPr>
          <w:p w14:paraId="29A7ADBF" w14:textId="61138B92" w:rsidR="00287039" w:rsidRPr="0021416E" w:rsidRDefault="004A1144" w:rsidP="009F09BE">
            <w:r w:rsidRPr="0021416E">
              <w:t>Work scrutiny and lesson observation is used systematically to improve the quality of teaching and learning</w:t>
            </w:r>
            <w:r w:rsidR="00CF5402" w:rsidRPr="0021416E">
              <w:t>?</w:t>
            </w:r>
          </w:p>
        </w:tc>
        <w:tc>
          <w:tcPr>
            <w:tcW w:w="1134" w:type="dxa"/>
          </w:tcPr>
          <w:p w14:paraId="20C14D22" w14:textId="77777777" w:rsidR="00287039" w:rsidRPr="0021416E" w:rsidRDefault="00287039" w:rsidP="009F09BE"/>
        </w:tc>
        <w:tc>
          <w:tcPr>
            <w:tcW w:w="1134" w:type="dxa"/>
          </w:tcPr>
          <w:p w14:paraId="32B8D58A" w14:textId="77777777" w:rsidR="00287039" w:rsidRPr="0021416E" w:rsidRDefault="00287039" w:rsidP="009F09BE"/>
        </w:tc>
        <w:tc>
          <w:tcPr>
            <w:tcW w:w="1134" w:type="dxa"/>
          </w:tcPr>
          <w:p w14:paraId="77E4CDD8" w14:textId="77777777" w:rsidR="00287039" w:rsidRPr="0021416E" w:rsidRDefault="00287039" w:rsidP="009F09BE"/>
        </w:tc>
        <w:tc>
          <w:tcPr>
            <w:tcW w:w="5024" w:type="dxa"/>
          </w:tcPr>
          <w:p w14:paraId="1FB9D8F2" w14:textId="77777777" w:rsidR="00287039" w:rsidRPr="0021416E" w:rsidRDefault="00287039" w:rsidP="009F09BE"/>
        </w:tc>
      </w:tr>
      <w:tr w:rsidR="00287039" w:rsidRPr="0021416E" w14:paraId="2BC76E36" w14:textId="77777777" w:rsidTr="009F09BE">
        <w:tc>
          <w:tcPr>
            <w:tcW w:w="5098" w:type="dxa"/>
          </w:tcPr>
          <w:p w14:paraId="0AF9E711" w14:textId="7A98904F" w:rsidR="00287039" w:rsidRPr="0021416E" w:rsidRDefault="004A1144" w:rsidP="009F09BE">
            <w:r w:rsidRPr="0021416E">
              <w:t>Leaders have a clear idea of the strengths and weaknesses of the provision and have plans to build on those strengths and address the weaknesses</w:t>
            </w:r>
            <w:r w:rsidR="00CF5402" w:rsidRPr="0021416E">
              <w:t>?</w:t>
            </w:r>
          </w:p>
        </w:tc>
        <w:tc>
          <w:tcPr>
            <w:tcW w:w="1134" w:type="dxa"/>
          </w:tcPr>
          <w:p w14:paraId="30222568" w14:textId="77777777" w:rsidR="00287039" w:rsidRPr="0021416E" w:rsidRDefault="00287039" w:rsidP="009F09BE"/>
        </w:tc>
        <w:tc>
          <w:tcPr>
            <w:tcW w:w="1134" w:type="dxa"/>
          </w:tcPr>
          <w:p w14:paraId="2901E365" w14:textId="77777777" w:rsidR="00287039" w:rsidRPr="0021416E" w:rsidRDefault="00287039" w:rsidP="009F09BE"/>
        </w:tc>
        <w:tc>
          <w:tcPr>
            <w:tcW w:w="1134" w:type="dxa"/>
          </w:tcPr>
          <w:p w14:paraId="487D60A6" w14:textId="77777777" w:rsidR="00287039" w:rsidRPr="0021416E" w:rsidRDefault="00287039" w:rsidP="009F09BE"/>
        </w:tc>
        <w:tc>
          <w:tcPr>
            <w:tcW w:w="5024" w:type="dxa"/>
          </w:tcPr>
          <w:p w14:paraId="0CF19AAC" w14:textId="77777777" w:rsidR="00287039" w:rsidRPr="0021416E" w:rsidRDefault="00287039" w:rsidP="009F09BE"/>
        </w:tc>
      </w:tr>
    </w:tbl>
    <w:p w14:paraId="10EF5B37" w14:textId="77777777" w:rsidR="0072614A" w:rsidRPr="0021416E" w:rsidRDefault="0072614A" w:rsidP="0072614A"/>
    <w:p w14:paraId="0BF4057C" w14:textId="77777777" w:rsidR="00FD736D" w:rsidRPr="0021416E" w:rsidRDefault="00FD736D">
      <w:pPr>
        <w:rPr>
          <w:b/>
          <w:bCs/>
          <w:u w:val="single"/>
        </w:rPr>
      </w:pPr>
      <w:r w:rsidRPr="0021416E">
        <w:rPr>
          <w:b/>
          <w:bCs/>
          <w:u w:val="single"/>
        </w:rPr>
        <w:br w:type="page"/>
      </w:r>
    </w:p>
    <w:p w14:paraId="5D62362B" w14:textId="5BBD65B7" w:rsidR="00FD736D" w:rsidRPr="0021416E" w:rsidRDefault="00FD736D" w:rsidP="00FD736D">
      <w:pPr>
        <w:pStyle w:val="ListParagraph"/>
        <w:numPr>
          <w:ilvl w:val="0"/>
          <w:numId w:val="2"/>
        </w:numPr>
        <w:rPr>
          <w:b/>
          <w:bCs/>
          <w:u w:val="single"/>
        </w:rPr>
      </w:pPr>
      <w:r w:rsidRPr="0021416E">
        <w:rPr>
          <w:b/>
          <w:bCs/>
          <w:u w:val="single"/>
        </w:rPr>
        <w:lastRenderedPageBreak/>
        <w:t>What might be in a Teaching and Learning Policy</w:t>
      </w:r>
    </w:p>
    <w:p w14:paraId="1BC4F4B4" w14:textId="77777777" w:rsidR="00FD736D" w:rsidRPr="0021416E" w:rsidRDefault="00FD736D" w:rsidP="00FD736D"/>
    <w:p w14:paraId="6DEC5223" w14:textId="77777777" w:rsidR="00FD736D" w:rsidRPr="0021416E" w:rsidRDefault="00FD736D" w:rsidP="00FD736D">
      <w:pPr>
        <w:pStyle w:val="ListParagraph"/>
        <w:numPr>
          <w:ilvl w:val="0"/>
          <w:numId w:val="1"/>
        </w:numPr>
        <w:rPr>
          <w:b/>
          <w:bCs/>
        </w:rPr>
      </w:pPr>
      <w:r w:rsidRPr="0021416E">
        <w:rPr>
          <w:b/>
          <w:bCs/>
        </w:rPr>
        <w:t xml:space="preserve"> A statement of Aims</w:t>
      </w:r>
    </w:p>
    <w:p w14:paraId="1E180420" w14:textId="77777777" w:rsidR="00FD736D" w:rsidRPr="0021416E" w:rsidRDefault="00FD736D" w:rsidP="00FD736D">
      <w:pPr>
        <w:pStyle w:val="ListParagraph"/>
        <w:numPr>
          <w:ilvl w:val="1"/>
          <w:numId w:val="1"/>
        </w:numPr>
      </w:pPr>
      <w:r w:rsidRPr="0021416E">
        <w:t>Summary of the Curriculum Offer</w:t>
      </w:r>
    </w:p>
    <w:p w14:paraId="1A62F966" w14:textId="49E5319E" w:rsidR="00FD736D" w:rsidRPr="0021416E" w:rsidRDefault="00FD736D" w:rsidP="00FD736D">
      <w:pPr>
        <w:pStyle w:val="ListParagraph"/>
        <w:numPr>
          <w:ilvl w:val="1"/>
          <w:numId w:val="1"/>
        </w:numPr>
      </w:pPr>
      <w:r w:rsidRPr="0021416E">
        <w:t>What you</w:t>
      </w:r>
      <w:r w:rsidR="00CF5402" w:rsidRPr="0021416E">
        <w:t>r</w:t>
      </w:r>
      <w:r w:rsidRPr="0021416E">
        <w:t xml:space="preserve"> curriculum offer focuses on;</w:t>
      </w:r>
    </w:p>
    <w:p w14:paraId="62067341" w14:textId="77777777" w:rsidR="00FD736D" w:rsidRPr="0021416E" w:rsidRDefault="00FD736D" w:rsidP="00FD736D">
      <w:pPr>
        <w:pStyle w:val="ListParagraph"/>
        <w:numPr>
          <w:ilvl w:val="2"/>
          <w:numId w:val="1"/>
        </w:numPr>
      </w:pPr>
      <w:r w:rsidRPr="0021416E">
        <w:t xml:space="preserve">The qualifications </w:t>
      </w:r>
    </w:p>
    <w:p w14:paraId="2C805D1B" w14:textId="77777777" w:rsidR="00FD736D" w:rsidRPr="0021416E" w:rsidRDefault="00FD736D" w:rsidP="00FD736D">
      <w:pPr>
        <w:pStyle w:val="ListParagraph"/>
        <w:numPr>
          <w:ilvl w:val="2"/>
          <w:numId w:val="1"/>
        </w:numPr>
      </w:pPr>
      <w:r w:rsidRPr="0021416E">
        <w:t>The key knowledge, understanding and skills you aim to develop</w:t>
      </w:r>
    </w:p>
    <w:p w14:paraId="53809C24" w14:textId="2B2C895A" w:rsidR="00FD736D" w:rsidRPr="0021416E" w:rsidRDefault="00FD736D" w:rsidP="00FD736D">
      <w:pPr>
        <w:pStyle w:val="ListParagraph"/>
        <w:numPr>
          <w:ilvl w:val="2"/>
          <w:numId w:val="1"/>
        </w:numPr>
      </w:pPr>
      <w:r w:rsidRPr="0021416E">
        <w:t xml:space="preserve">Any underlying aspects that you develop </w:t>
      </w:r>
      <w:r w:rsidR="00CF5402" w:rsidRPr="0021416E">
        <w:t>alongside</w:t>
      </w:r>
      <w:r w:rsidRPr="0021416E">
        <w:t xml:space="preserve"> or as part of the main focus of your curriculum (</w:t>
      </w:r>
      <w:proofErr w:type="spellStart"/>
      <w:r w:rsidRPr="0021416E">
        <w:t>ie</w:t>
      </w:r>
      <w:proofErr w:type="spellEnd"/>
      <w:r w:rsidRPr="0021416E">
        <w:t xml:space="preserve"> key skills, lit and numeracy)</w:t>
      </w:r>
    </w:p>
    <w:p w14:paraId="07F2E7EC" w14:textId="77777777" w:rsidR="00FD736D" w:rsidRPr="0021416E" w:rsidRDefault="00FD736D" w:rsidP="00FD736D">
      <w:pPr>
        <w:pStyle w:val="ListParagraph"/>
        <w:numPr>
          <w:ilvl w:val="2"/>
          <w:numId w:val="1"/>
        </w:numPr>
      </w:pPr>
      <w:r w:rsidRPr="0021416E">
        <w:t>Any underlying aspects of your curriculum that supports the personal development of the learners</w:t>
      </w:r>
    </w:p>
    <w:p w14:paraId="0CB81038" w14:textId="77777777" w:rsidR="00FD736D" w:rsidRPr="0021416E" w:rsidRDefault="00FD736D" w:rsidP="00FD736D">
      <w:pPr>
        <w:pStyle w:val="ListParagraph"/>
        <w:numPr>
          <w:ilvl w:val="0"/>
          <w:numId w:val="1"/>
        </w:numPr>
        <w:rPr>
          <w:b/>
          <w:bCs/>
        </w:rPr>
      </w:pPr>
      <w:r w:rsidRPr="0021416E">
        <w:rPr>
          <w:b/>
          <w:bCs/>
        </w:rPr>
        <w:t>Describing the approach you take to Teaching and Learning</w:t>
      </w:r>
    </w:p>
    <w:p w14:paraId="0C52F2C3" w14:textId="057B076C" w:rsidR="00FD736D" w:rsidRPr="0021416E" w:rsidRDefault="00FD736D" w:rsidP="00FD736D">
      <w:pPr>
        <w:pStyle w:val="ListParagraph"/>
        <w:numPr>
          <w:ilvl w:val="1"/>
          <w:numId w:val="1"/>
        </w:numPr>
      </w:pPr>
      <w:r w:rsidRPr="0021416E">
        <w:t>How your staff prepare the learners for learning</w:t>
      </w:r>
    </w:p>
    <w:p w14:paraId="6537E214" w14:textId="5BD87726" w:rsidR="00FD736D" w:rsidRPr="0021416E" w:rsidRDefault="00FD736D" w:rsidP="00FD736D">
      <w:pPr>
        <w:pStyle w:val="ListParagraph"/>
        <w:numPr>
          <w:ilvl w:val="2"/>
          <w:numId w:val="1"/>
        </w:numPr>
      </w:pPr>
      <w:r w:rsidRPr="0021416E">
        <w:t>How you set learners’ expectations</w:t>
      </w:r>
    </w:p>
    <w:p w14:paraId="2BE8FECC" w14:textId="77777777" w:rsidR="00FD736D" w:rsidRPr="0021416E" w:rsidRDefault="00FD736D" w:rsidP="00FD736D">
      <w:pPr>
        <w:pStyle w:val="ListParagraph"/>
        <w:numPr>
          <w:ilvl w:val="2"/>
          <w:numId w:val="1"/>
        </w:numPr>
      </w:pPr>
      <w:r w:rsidRPr="0021416E">
        <w:t>How you expect staff to meet and greet students</w:t>
      </w:r>
    </w:p>
    <w:p w14:paraId="2483904F" w14:textId="77777777" w:rsidR="00FD736D" w:rsidRPr="0021416E" w:rsidRDefault="00FD736D" w:rsidP="00FD736D">
      <w:pPr>
        <w:pStyle w:val="ListParagraph"/>
        <w:numPr>
          <w:ilvl w:val="2"/>
          <w:numId w:val="1"/>
        </w:numPr>
      </w:pPr>
      <w:r w:rsidRPr="0021416E">
        <w:t>How you make sure learners have the equipment they need for learning</w:t>
      </w:r>
    </w:p>
    <w:p w14:paraId="6643E304" w14:textId="77777777" w:rsidR="00FD736D" w:rsidRPr="0021416E" w:rsidRDefault="00FD736D" w:rsidP="00FD736D">
      <w:pPr>
        <w:pStyle w:val="ListParagraph"/>
        <w:numPr>
          <w:ilvl w:val="2"/>
          <w:numId w:val="1"/>
        </w:numPr>
      </w:pPr>
      <w:r w:rsidRPr="0021416E">
        <w:t>How you make sure they have put away equipment they don’t need</w:t>
      </w:r>
    </w:p>
    <w:p w14:paraId="5568F2C2" w14:textId="77777777" w:rsidR="00FD736D" w:rsidRPr="0021416E" w:rsidRDefault="00FD736D" w:rsidP="00FD736D">
      <w:pPr>
        <w:pStyle w:val="ListParagraph"/>
        <w:numPr>
          <w:ilvl w:val="2"/>
          <w:numId w:val="1"/>
        </w:numPr>
      </w:pPr>
      <w:r w:rsidRPr="0021416E">
        <w:t>How you decide where learners will be placed in the learning space</w:t>
      </w:r>
    </w:p>
    <w:p w14:paraId="3635E24E" w14:textId="77777777" w:rsidR="00FD736D" w:rsidRPr="0021416E" w:rsidRDefault="00FD736D" w:rsidP="00FD736D">
      <w:pPr>
        <w:pStyle w:val="ListParagraph"/>
        <w:numPr>
          <w:ilvl w:val="2"/>
          <w:numId w:val="1"/>
        </w:numPr>
      </w:pPr>
      <w:r w:rsidRPr="0021416E">
        <w:t xml:space="preserve">Any special routines that staff should use at start and finish of the learning </w:t>
      </w:r>
    </w:p>
    <w:p w14:paraId="4C379E68" w14:textId="77777777" w:rsidR="00FD736D" w:rsidRPr="0021416E" w:rsidRDefault="00FD736D" w:rsidP="00FD736D">
      <w:pPr>
        <w:pStyle w:val="ListParagraph"/>
        <w:numPr>
          <w:ilvl w:val="2"/>
          <w:numId w:val="1"/>
        </w:numPr>
      </w:pPr>
      <w:r w:rsidRPr="0021416E">
        <w:t>Any ways of working that you establish from the start of learning such as</w:t>
      </w:r>
    </w:p>
    <w:p w14:paraId="0CC4CDFB" w14:textId="77777777" w:rsidR="00FD736D" w:rsidRPr="0021416E" w:rsidRDefault="00FD736D" w:rsidP="00FD736D">
      <w:pPr>
        <w:pStyle w:val="ListParagraph"/>
        <w:numPr>
          <w:ilvl w:val="3"/>
          <w:numId w:val="1"/>
        </w:numPr>
      </w:pPr>
      <w:r w:rsidRPr="0021416E">
        <w:t>How learners record their work (paper, electronic etc)</w:t>
      </w:r>
    </w:p>
    <w:p w14:paraId="751ED39F" w14:textId="77777777" w:rsidR="00FD736D" w:rsidRPr="0021416E" w:rsidRDefault="00FD736D" w:rsidP="00FD736D">
      <w:pPr>
        <w:pStyle w:val="ListParagraph"/>
        <w:numPr>
          <w:ilvl w:val="3"/>
          <w:numId w:val="1"/>
        </w:numPr>
      </w:pPr>
      <w:r w:rsidRPr="0021416E">
        <w:t>How learners store and retrieve objects that they are working on</w:t>
      </w:r>
    </w:p>
    <w:p w14:paraId="3AA978DE" w14:textId="77777777" w:rsidR="00FD736D" w:rsidRPr="0021416E" w:rsidRDefault="00FD736D" w:rsidP="00FD736D">
      <w:pPr>
        <w:pStyle w:val="ListParagraph"/>
        <w:numPr>
          <w:ilvl w:val="1"/>
          <w:numId w:val="1"/>
        </w:numPr>
      </w:pPr>
      <w:r w:rsidRPr="0021416E">
        <w:t>Staff planning for the learning</w:t>
      </w:r>
    </w:p>
    <w:p w14:paraId="128EAB1A" w14:textId="77777777" w:rsidR="00FD736D" w:rsidRPr="0021416E" w:rsidRDefault="00FD736D" w:rsidP="00FD736D">
      <w:pPr>
        <w:pStyle w:val="ListParagraph"/>
        <w:numPr>
          <w:ilvl w:val="2"/>
          <w:numId w:val="1"/>
        </w:numPr>
      </w:pPr>
      <w:r w:rsidRPr="0021416E">
        <w:t>How you link learning sessions to the scheme of work or syllabus you are following</w:t>
      </w:r>
    </w:p>
    <w:p w14:paraId="0646BEBE" w14:textId="77777777" w:rsidR="00FD736D" w:rsidRPr="0021416E" w:rsidRDefault="00FD736D" w:rsidP="00FD736D">
      <w:pPr>
        <w:pStyle w:val="ListParagraph"/>
        <w:numPr>
          <w:ilvl w:val="2"/>
          <w:numId w:val="1"/>
        </w:numPr>
      </w:pPr>
      <w:r w:rsidRPr="0021416E">
        <w:t>How you set session by session learning objectives – what you want learners to achieve by the end of the session</w:t>
      </w:r>
    </w:p>
    <w:p w14:paraId="63103EA3" w14:textId="77777777" w:rsidR="00FD736D" w:rsidRPr="0021416E" w:rsidRDefault="00FD736D" w:rsidP="00FD736D">
      <w:pPr>
        <w:pStyle w:val="ListParagraph"/>
        <w:numPr>
          <w:ilvl w:val="2"/>
          <w:numId w:val="1"/>
        </w:numPr>
      </w:pPr>
      <w:r w:rsidRPr="0021416E">
        <w:t>How you share these with learners</w:t>
      </w:r>
    </w:p>
    <w:p w14:paraId="013FD53A" w14:textId="77777777" w:rsidR="00FD736D" w:rsidRPr="0021416E" w:rsidRDefault="00FD736D" w:rsidP="00FD736D">
      <w:pPr>
        <w:pStyle w:val="ListParagraph"/>
        <w:numPr>
          <w:ilvl w:val="2"/>
          <w:numId w:val="1"/>
        </w:numPr>
      </w:pPr>
      <w:r w:rsidRPr="0021416E">
        <w:t>How you make sure that you spot any mistakes and misconceptions that your learners experience</w:t>
      </w:r>
    </w:p>
    <w:p w14:paraId="08E3B5AA" w14:textId="77777777" w:rsidR="00FD736D" w:rsidRPr="0021416E" w:rsidRDefault="00FD736D" w:rsidP="00FD736D">
      <w:pPr>
        <w:pStyle w:val="ListParagraph"/>
        <w:numPr>
          <w:ilvl w:val="2"/>
          <w:numId w:val="1"/>
        </w:numPr>
      </w:pPr>
      <w:r w:rsidRPr="0021416E">
        <w:t>How you address those in subsequent learning</w:t>
      </w:r>
    </w:p>
    <w:p w14:paraId="22BCF8F4" w14:textId="77777777" w:rsidR="00FD736D" w:rsidRPr="0021416E" w:rsidRDefault="00FD736D" w:rsidP="00FD736D">
      <w:pPr>
        <w:pStyle w:val="ListParagraph"/>
        <w:numPr>
          <w:ilvl w:val="2"/>
          <w:numId w:val="1"/>
        </w:numPr>
      </w:pPr>
      <w:r w:rsidRPr="0021416E">
        <w:t xml:space="preserve">How you adjust activities in the light of individual learners’ SEND </w:t>
      </w:r>
    </w:p>
    <w:p w14:paraId="46A75E7A" w14:textId="6B342CFE" w:rsidR="00FD736D" w:rsidRPr="0021416E" w:rsidRDefault="00FD736D" w:rsidP="00FD736D">
      <w:pPr>
        <w:pStyle w:val="ListParagraph"/>
        <w:numPr>
          <w:ilvl w:val="2"/>
          <w:numId w:val="1"/>
        </w:numPr>
      </w:pPr>
      <w:r w:rsidRPr="0021416E">
        <w:t xml:space="preserve">How you use other adults who support the learning </w:t>
      </w:r>
      <w:r w:rsidR="000B4B5D" w:rsidRPr="0021416E">
        <w:t>alongside</w:t>
      </w:r>
      <w:r w:rsidRPr="0021416E">
        <w:t xml:space="preserve"> you.</w:t>
      </w:r>
    </w:p>
    <w:p w14:paraId="1DE04880" w14:textId="77777777" w:rsidR="00FD736D" w:rsidRPr="0021416E" w:rsidRDefault="00FD736D" w:rsidP="00FD736D">
      <w:pPr>
        <w:pStyle w:val="ListParagraph"/>
        <w:numPr>
          <w:ilvl w:val="1"/>
          <w:numId w:val="1"/>
        </w:numPr>
      </w:pPr>
      <w:r w:rsidRPr="0021416E">
        <w:t>Assessing progress, giving feedback</w:t>
      </w:r>
    </w:p>
    <w:p w14:paraId="404A0DF2" w14:textId="77777777" w:rsidR="00FD736D" w:rsidRPr="0021416E" w:rsidRDefault="00FD736D" w:rsidP="00FD736D">
      <w:pPr>
        <w:pStyle w:val="ListParagraph"/>
        <w:numPr>
          <w:ilvl w:val="2"/>
          <w:numId w:val="1"/>
        </w:numPr>
      </w:pPr>
      <w:r w:rsidRPr="0021416E">
        <w:lastRenderedPageBreak/>
        <w:t xml:space="preserve">What do you do to “mark” the learners work </w:t>
      </w:r>
    </w:p>
    <w:p w14:paraId="7405E6A3" w14:textId="77777777" w:rsidR="00FD736D" w:rsidRPr="0021416E" w:rsidRDefault="00FD736D" w:rsidP="00FD736D">
      <w:pPr>
        <w:pStyle w:val="ListParagraph"/>
        <w:numPr>
          <w:ilvl w:val="2"/>
          <w:numId w:val="1"/>
        </w:numPr>
      </w:pPr>
      <w:r w:rsidRPr="0021416E">
        <w:t>How you give feedback and how do you expect them to respond</w:t>
      </w:r>
    </w:p>
    <w:p w14:paraId="216DE05F" w14:textId="77777777" w:rsidR="00FD736D" w:rsidRPr="0021416E" w:rsidRDefault="00FD736D" w:rsidP="00FD736D">
      <w:pPr>
        <w:pStyle w:val="ListParagraph"/>
        <w:numPr>
          <w:ilvl w:val="2"/>
          <w:numId w:val="1"/>
        </w:numPr>
      </w:pPr>
      <w:r w:rsidRPr="0021416E">
        <w:t>How you assess progress</w:t>
      </w:r>
    </w:p>
    <w:p w14:paraId="0F455862" w14:textId="77777777" w:rsidR="00FD736D" w:rsidRPr="0021416E" w:rsidRDefault="00FD736D" w:rsidP="00FD736D">
      <w:pPr>
        <w:pStyle w:val="ListParagraph"/>
        <w:numPr>
          <w:ilvl w:val="2"/>
          <w:numId w:val="1"/>
        </w:numPr>
      </w:pPr>
      <w:r w:rsidRPr="0021416E">
        <w:t>How you record the progress</w:t>
      </w:r>
    </w:p>
    <w:p w14:paraId="725C6018" w14:textId="77777777" w:rsidR="00FD736D" w:rsidRPr="0021416E" w:rsidRDefault="00FD736D" w:rsidP="00FD736D">
      <w:pPr>
        <w:pStyle w:val="ListParagraph"/>
        <w:numPr>
          <w:ilvl w:val="2"/>
          <w:numId w:val="1"/>
        </w:numPr>
      </w:pPr>
      <w:r w:rsidRPr="0021416E">
        <w:t>How you report on the progress to:</w:t>
      </w:r>
    </w:p>
    <w:p w14:paraId="5CDF7745" w14:textId="77777777" w:rsidR="00FD736D" w:rsidRPr="0021416E" w:rsidRDefault="00FD736D" w:rsidP="00FD736D">
      <w:pPr>
        <w:pStyle w:val="ListParagraph"/>
        <w:numPr>
          <w:ilvl w:val="3"/>
          <w:numId w:val="1"/>
        </w:numPr>
      </w:pPr>
      <w:r w:rsidRPr="0021416E">
        <w:t>The learner</w:t>
      </w:r>
    </w:p>
    <w:p w14:paraId="03EF8A55" w14:textId="77777777" w:rsidR="00FD736D" w:rsidRPr="0021416E" w:rsidRDefault="00FD736D" w:rsidP="00FD736D">
      <w:pPr>
        <w:pStyle w:val="ListParagraph"/>
        <w:numPr>
          <w:ilvl w:val="3"/>
          <w:numId w:val="1"/>
        </w:numPr>
      </w:pPr>
      <w:r w:rsidRPr="0021416E">
        <w:t>The parents</w:t>
      </w:r>
    </w:p>
    <w:p w14:paraId="179A8073" w14:textId="77777777" w:rsidR="00FD736D" w:rsidRPr="0021416E" w:rsidRDefault="00FD736D" w:rsidP="00FD736D">
      <w:pPr>
        <w:pStyle w:val="ListParagraph"/>
        <w:numPr>
          <w:ilvl w:val="3"/>
          <w:numId w:val="1"/>
        </w:numPr>
      </w:pPr>
      <w:r w:rsidRPr="0021416E">
        <w:t>The commissioning school or partnership</w:t>
      </w:r>
    </w:p>
    <w:p w14:paraId="1D3E7DA4" w14:textId="77777777" w:rsidR="00FD736D" w:rsidRPr="0021416E" w:rsidRDefault="00FD736D" w:rsidP="00FD736D">
      <w:pPr>
        <w:pStyle w:val="ListParagraph"/>
        <w:numPr>
          <w:ilvl w:val="1"/>
          <w:numId w:val="1"/>
        </w:numPr>
      </w:pPr>
      <w:r w:rsidRPr="0021416E">
        <w:t>Are there any common themes that you all work on collectively and that you build into the teaching and learning and curriculum?</w:t>
      </w:r>
    </w:p>
    <w:p w14:paraId="0166C975" w14:textId="77777777" w:rsidR="00FD736D" w:rsidRPr="0021416E" w:rsidRDefault="00FD736D" w:rsidP="00FD736D">
      <w:pPr>
        <w:ind w:left="1980"/>
      </w:pPr>
      <w:r w:rsidRPr="0021416E">
        <w:t>For example:</w:t>
      </w:r>
    </w:p>
    <w:p w14:paraId="5F4B4EEA" w14:textId="77777777" w:rsidR="00FD736D" w:rsidRPr="0021416E" w:rsidRDefault="00FD736D" w:rsidP="00FD736D">
      <w:pPr>
        <w:pStyle w:val="ListParagraph"/>
        <w:numPr>
          <w:ilvl w:val="2"/>
          <w:numId w:val="1"/>
        </w:numPr>
      </w:pPr>
      <w:r w:rsidRPr="0021416E">
        <w:t>A common policy on learning new technical terms</w:t>
      </w:r>
    </w:p>
    <w:p w14:paraId="671F56CD" w14:textId="77777777" w:rsidR="00FD736D" w:rsidRPr="0021416E" w:rsidRDefault="00FD736D" w:rsidP="00FD736D">
      <w:pPr>
        <w:pStyle w:val="ListParagraph"/>
        <w:numPr>
          <w:ilvl w:val="2"/>
          <w:numId w:val="1"/>
        </w:numPr>
      </w:pPr>
      <w:r w:rsidRPr="0021416E">
        <w:t>A common approach to helping students work together in co-operative groups</w:t>
      </w:r>
    </w:p>
    <w:p w14:paraId="3851DC14" w14:textId="77777777" w:rsidR="00FD736D" w:rsidRPr="0021416E" w:rsidRDefault="00FD736D" w:rsidP="00FD736D">
      <w:pPr>
        <w:pStyle w:val="ListParagraph"/>
        <w:numPr>
          <w:ilvl w:val="2"/>
          <w:numId w:val="1"/>
        </w:numPr>
      </w:pPr>
      <w:r w:rsidRPr="0021416E">
        <w:t>A consistent approach to the way staff ask questions and help the learners to answer effectively</w:t>
      </w:r>
    </w:p>
    <w:p w14:paraId="3774AA6E" w14:textId="77777777" w:rsidR="00FD736D" w:rsidRPr="0021416E" w:rsidRDefault="00FD736D" w:rsidP="00FD736D">
      <w:pPr>
        <w:pStyle w:val="ListParagraph"/>
        <w:numPr>
          <w:ilvl w:val="1"/>
          <w:numId w:val="1"/>
        </w:numPr>
      </w:pPr>
      <w:r w:rsidRPr="0021416E">
        <w:t>Leadership of Learning</w:t>
      </w:r>
    </w:p>
    <w:p w14:paraId="11BB1C86" w14:textId="77777777" w:rsidR="00FD736D" w:rsidRPr="0021416E" w:rsidRDefault="00FD736D" w:rsidP="00FD736D">
      <w:pPr>
        <w:pStyle w:val="ListParagraph"/>
        <w:numPr>
          <w:ilvl w:val="2"/>
          <w:numId w:val="1"/>
        </w:numPr>
      </w:pPr>
      <w:r w:rsidRPr="0021416E">
        <w:t>How you make sure that your curriculum and the related teaching keeps up to date with changes in syllabuses, national guidance and best practice?</w:t>
      </w:r>
    </w:p>
    <w:p w14:paraId="5241FCFF" w14:textId="4BAF09B4" w:rsidR="00FD736D" w:rsidRPr="0021416E" w:rsidRDefault="00FD736D" w:rsidP="00FD736D">
      <w:pPr>
        <w:pStyle w:val="ListParagraph"/>
        <w:numPr>
          <w:ilvl w:val="2"/>
          <w:numId w:val="1"/>
        </w:numPr>
      </w:pPr>
      <w:r w:rsidRPr="0021416E">
        <w:t>How you share good practice between colleagues</w:t>
      </w:r>
      <w:r w:rsidR="000B4B5D" w:rsidRPr="0021416E">
        <w:t>?</w:t>
      </w:r>
    </w:p>
    <w:p w14:paraId="4893A4F1" w14:textId="15141AEE" w:rsidR="00FD736D" w:rsidRPr="0021416E" w:rsidRDefault="00FD736D" w:rsidP="00FD736D">
      <w:pPr>
        <w:pStyle w:val="ListParagraph"/>
        <w:numPr>
          <w:ilvl w:val="2"/>
          <w:numId w:val="1"/>
        </w:numPr>
      </w:pPr>
      <w:r w:rsidRPr="0021416E">
        <w:t>How you strengthen the accountability of staff for the progress of their learners</w:t>
      </w:r>
      <w:r w:rsidR="000B4B5D" w:rsidRPr="0021416E">
        <w:t>?</w:t>
      </w:r>
    </w:p>
    <w:p w14:paraId="632B9760" w14:textId="77777777" w:rsidR="00FD736D" w:rsidRPr="0021416E" w:rsidRDefault="00FD736D" w:rsidP="00FD736D">
      <w:pPr>
        <w:pStyle w:val="ListParagraph"/>
        <w:numPr>
          <w:ilvl w:val="0"/>
          <w:numId w:val="1"/>
        </w:numPr>
        <w:rPr>
          <w:b/>
          <w:bCs/>
        </w:rPr>
      </w:pPr>
      <w:r w:rsidRPr="0021416E">
        <w:rPr>
          <w:b/>
          <w:bCs/>
        </w:rPr>
        <w:t>Monitoring the quality and impact of the Teaching and Learning</w:t>
      </w:r>
    </w:p>
    <w:p w14:paraId="1A5B384F" w14:textId="25DC140E" w:rsidR="00FD736D" w:rsidRPr="0021416E" w:rsidRDefault="00FD736D" w:rsidP="00FD736D">
      <w:pPr>
        <w:pStyle w:val="ListParagraph"/>
        <w:numPr>
          <w:ilvl w:val="1"/>
          <w:numId w:val="1"/>
        </w:numPr>
      </w:pPr>
      <w:r w:rsidRPr="0021416E">
        <w:t xml:space="preserve">How </w:t>
      </w:r>
      <w:r w:rsidR="000B4B5D" w:rsidRPr="0021416E">
        <w:t>to</w:t>
      </w:r>
      <w:r w:rsidRPr="0021416E">
        <w:t xml:space="preserve"> use the data of learners progress to help you judge how good the teaching is?</w:t>
      </w:r>
    </w:p>
    <w:p w14:paraId="388C00E5" w14:textId="77777777" w:rsidR="00FD736D" w:rsidRPr="0021416E" w:rsidRDefault="00FD736D" w:rsidP="00FD736D">
      <w:pPr>
        <w:pStyle w:val="ListParagraph"/>
        <w:numPr>
          <w:ilvl w:val="1"/>
          <w:numId w:val="1"/>
        </w:numPr>
      </w:pPr>
      <w:r w:rsidRPr="0021416E">
        <w:t xml:space="preserve">What are your routines for “Work Scrutiny” </w:t>
      </w:r>
      <w:proofErr w:type="spellStart"/>
      <w:r w:rsidRPr="0021416E">
        <w:t>ie</w:t>
      </w:r>
      <w:proofErr w:type="spellEnd"/>
      <w:r w:rsidRPr="0021416E">
        <w:t xml:space="preserve"> looking at samples of learners work as a means of judging the impact of teaching on learning?</w:t>
      </w:r>
    </w:p>
    <w:p w14:paraId="6E0B34FE" w14:textId="77777777" w:rsidR="00FD736D" w:rsidRPr="0021416E" w:rsidRDefault="00FD736D" w:rsidP="00FD736D">
      <w:pPr>
        <w:pStyle w:val="ListParagraph"/>
        <w:numPr>
          <w:ilvl w:val="1"/>
          <w:numId w:val="1"/>
        </w:numPr>
      </w:pPr>
      <w:r w:rsidRPr="0021416E">
        <w:t>How do you carry out observations of teaching?</w:t>
      </w:r>
    </w:p>
    <w:p w14:paraId="3EFCF261" w14:textId="33074751" w:rsidR="00FD736D" w:rsidRPr="0021416E" w:rsidRDefault="00FD736D" w:rsidP="00FD736D">
      <w:pPr>
        <w:pStyle w:val="ListParagraph"/>
        <w:numPr>
          <w:ilvl w:val="1"/>
          <w:numId w:val="1"/>
        </w:numPr>
      </w:pPr>
      <w:r w:rsidRPr="0021416E">
        <w:t>How do you feedback to staff and how does this link into your Training plans?</w:t>
      </w:r>
    </w:p>
    <w:p w14:paraId="3947B8E8" w14:textId="0F8D64E4" w:rsidR="003B35B6" w:rsidRPr="0021416E" w:rsidRDefault="003B35B6">
      <w:r w:rsidRPr="0021416E">
        <w:br w:type="page"/>
      </w:r>
    </w:p>
    <w:p w14:paraId="66C19F96" w14:textId="652A233B" w:rsidR="00200547" w:rsidRPr="0021416E" w:rsidRDefault="003B35B6" w:rsidP="00200547">
      <w:pPr>
        <w:pStyle w:val="ListParagraph"/>
        <w:numPr>
          <w:ilvl w:val="0"/>
          <w:numId w:val="1"/>
        </w:numPr>
        <w:rPr>
          <w:b/>
          <w:bCs/>
          <w:u w:val="single"/>
        </w:rPr>
      </w:pPr>
      <w:r w:rsidRPr="0021416E">
        <w:rPr>
          <w:b/>
          <w:bCs/>
          <w:u w:val="single"/>
        </w:rPr>
        <w:lastRenderedPageBreak/>
        <w:t>Further References</w:t>
      </w:r>
    </w:p>
    <w:p w14:paraId="541410F4" w14:textId="37EF90BE" w:rsidR="00200547" w:rsidRPr="0021416E" w:rsidRDefault="00087E46" w:rsidP="00200547">
      <w:pPr>
        <w:rPr>
          <w:b/>
          <w:bCs/>
          <w:u w:val="single"/>
        </w:rPr>
      </w:pPr>
      <w:r w:rsidRPr="0021416E">
        <w:t>Specific policies on teaching and learning are common in most mainstream schools but less evident for specialist providers.</w:t>
      </w:r>
    </w:p>
    <w:p w14:paraId="6ACE7E72" w14:textId="2A4C823F" w:rsidR="0072614A" w:rsidRPr="0021416E" w:rsidRDefault="0021416E">
      <w:hyperlink r:id="rId8" w:history="1">
        <w:r w:rsidR="00200547" w:rsidRPr="0021416E">
          <w:rPr>
            <w:rStyle w:val="Hyperlink"/>
            <w:color w:val="auto"/>
          </w:rPr>
          <w:t>https://www.centreforsocialjustice.org.uk/wp-content/uploads/2022/04/AP-Quality-Toolkit-2022.pdf</w:t>
        </w:r>
      </w:hyperlink>
    </w:p>
    <w:p w14:paraId="13CFC456" w14:textId="253FCF64" w:rsidR="00200547" w:rsidRPr="0021416E" w:rsidRDefault="00200547">
      <w:r w:rsidRPr="0021416E">
        <w:t>This major document published by the Centre for Social Justice contains so much expertise drawn from everyone working in the sector, including unregistered APs.  It is not a good starting point but for APS who have strong experience it is a hugely valuable resource.</w:t>
      </w:r>
    </w:p>
    <w:p w14:paraId="1C03F563" w14:textId="78E8E41B" w:rsidR="00087E46" w:rsidRPr="0021416E" w:rsidRDefault="0021416E">
      <w:hyperlink r:id="rId9" w:history="1">
        <w:r w:rsidR="00087E46" w:rsidRPr="0021416E">
          <w:rPr>
            <w:rStyle w:val="Hyperlink"/>
            <w:color w:val="auto"/>
          </w:rPr>
          <w:t>https://www.harrisockendon.org.uk/1761/6-principles-of-teaching</w:t>
        </w:r>
      </w:hyperlink>
    </w:p>
    <w:p w14:paraId="254ADB70" w14:textId="62662589" w:rsidR="00087E46" w:rsidRPr="0021416E" w:rsidRDefault="00087E46">
      <w:r w:rsidRPr="0021416E">
        <w:t>Just one example of the sort of policy documents that mainstream schools are creating.  This is short and to the point!</w:t>
      </w:r>
    </w:p>
    <w:sectPr w:rsidR="00087E46" w:rsidRPr="0021416E" w:rsidSect="00124B20">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EBA9" w14:textId="77777777" w:rsidR="001F455D" w:rsidRDefault="001F455D" w:rsidP="00FD736D">
      <w:pPr>
        <w:spacing w:after="0" w:line="240" w:lineRule="auto"/>
      </w:pPr>
      <w:r>
        <w:separator/>
      </w:r>
    </w:p>
  </w:endnote>
  <w:endnote w:type="continuationSeparator" w:id="0">
    <w:p w14:paraId="208429DD" w14:textId="77777777" w:rsidR="001F455D" w:rsidRDefault="001F455D" w:rsidP="00FD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DAA3" w14:textId="3139747D" w:rsidR="00FD736D" w:rsidRDefault="00FD736D" w:rsidP="00FD736D">
    <w:pPr>
      <w:pStyle w:val="Footer"/>
    </w:pPr>
    <w:r>
      <w:t xml:space="preserve">Leicestershire SEIPS Tool Kit </w:t>
    </w:r>
    <w:r w:rsidR="00D066EE">
      <w:t>Teaching</w:t>
    </w:r>
    <w:r>
      <w:t xml:space="preserve"> and Learning Policies page </w:t>
    </w:r>
    <w:r>
      <w:fldChar w:fldCharType="begin"/>
    </w:r>
    <w:r>
      <w:instrText xml:space="preserve"> PAGE   \* MERGEFORMAT </w:instrText>
    </w:r>
    <w:r>
      <w:fldChar w:fldCharType="separate"/>
    </w:r>
    <w:r>
      <w:t>1</w:t>
    </w:r>
    <w:r>
      <w:rPr>
        <w:noProof/>
      </w:rPr>
      <w:fldChar w:fldCharType="end"/>
    </w:r>
  </w:p>
  <w:p w14:paraId="745017F3" w14:textId="49B694EB" w:rsidR="00FD736D" w:rsidRDefault="00FD736D">
    <w:pPr>
      <w:pStyle w:val="Footer"/>
    </w:pPr>
  </w:p>
  <w:p w14:paraId="324F4262" w14:textId="77777777" w:rsidR="00FD736D" w:rsidRDefault="00FD7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8E28" w14:textId="77777777" w:rsidR="001F455D" w:rsidRDefault="001F455D" w:rsidP="00FD736D">
      <w:pPr>
        <w:spacing w:after="0" w:line="240" w:lineRule="auto"/>
      </w:pPr>
      <w:r>
        <w:separator/>
      </w:r>
    </w:p>
  </w:footnote>
  <w:footnote w:type="continuationSeparator" w:id="0">
    <w:p w14:paraId="4095E40E" w14:textId="77777777" w:rsidR="001F455D" w:rsidRDefault="001F455D" w:rsidP="00FD7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AC5"/>
    <w:multiLevelType w:val="hybridMultilevel"/>
    <w:tmpl w:val="20384DE8"/>
    <w:lvl w:ilvl="0" w:tplc="EC4CA2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7C34E4"/>
    <w:multiLevelType w:val="hybridMultilevel"/>
    <w:tmpl w:val="AB462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E90DA6"/>
    <w:multiLevelType w:val="hybridMultilevel"/>
    <w:tmpl w:val="90E885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3811462">
    <w:abstractNumId w:val="2"/>
  </w:num>
  <w:num w:numId="2" w16cid:durableId="1194730829">
    <w:abstractNumId w:val="1"/>
  </w:num>
  <w:num w:numId="3" w16cid:durableId="177570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4A"/>
    <w:rsid w:val="00034C56"/>
    <w:rsid w:val="00087E46"/>
    <w:rsid w:val="000B4B5D"/>
    <w:rsid w:val="001577BE"/>
    <w:rsid w:val="001F455D"/>
    <w:rsid w:val="00200547"/>
    <w:rsid w:val="0021416E"/>
    <w:rsid w:val="00287039"/>
    <w:rsid w:val="003B35B6"/>
    <w:rsid w:val="003E3D87"/>
    <w:rsid w:val="004A1144"/>
    <w:rsid w:val="006C525C"/>
    <w:rsid w:val="006D6546"/>
    <w:rsid w:val="0072614A"/>
    <w:rsid w:val="008B3AC8"/>
    <w:rsid w:val="00961EF8"/>
    <w:rsid w:val="009A3815"/>
    <w:rsid w:val="00C03321"/>
    <w:rsid w:val="00CE4048"/>
    <w:rsid w:val="00CF5402"/>
    <w:rsid w:val="00D066EE"/>
    <w:rsid w:val="00D879C9"/>
    <w:rsid w:val="00ED4124"/>
    <w:rsid w:val="00FD7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E7C1"/>
  <w15:chartTrackingRefBased/>
  <w15:docId w15:val="{35B7FED7-9A62-4421-B8FA-12D40D5A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14A"/>
    <w:pPr>
      <w:ind w:left="720"/>
      <w:contextualSpacing/>
    </w:pPr>
  </w:style>
  <w:style w:type="table" w:styleId="TableGrid">
    <w:name w:val="Table Grid"/>
    <w:basedOn w:val="TableNormal"/>
    <w:uiPriority w:val="39"/>
    <w:rsid w:val="00287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7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36D"/>
  </w:style>
  <w:style w:type="paragraph" w:styleId="Footer">
    <w:name w:val="footer"/>
    <w:basedOn w:val="Normal"/>
    <w:link w:val="FooterChar"/>
    <w:uiPriority w:val="99"/>
    <w:unhideWhenUsed/>
    <w:rsid w:val="00FD7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36D"/>
  </w:style>
  <w:style w:type="character" w:styleId="Hyperlink">
    <w:name w:val="Hyperlink"/>
    <w:basedOn w:val="DefaultParagraphFont"/>
    <w:uiPriority w:val="99"/>
    <w:unhideWhenUsed/>
    <w:rsid w:val="00200547"/>
    <w:rPr>
      <w:color w:val="0563C1" w:themeColor="hyperlink"/>
      <w:u w:val="single"/>
    </w:rPr>
  </w:style>
  <w:style w:type="character" w:styleId="UnresolvedMention">
    <w:name w:val="Unresolved Mention"/>
    <w:basedOn w:val="DefaultParagraphFont"/>
    <w:uiPriority w:val="99"/>
    <w:semiHidden/>
    <w:unhideWhenUsed/>
    <w:rsid w:val="0020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Stephenson</dc:creator>
  <cp:keywords/>
  <dc:description/>
  <cp:lastModifiedBy>Adrian Stephenson</cp:lastModifiedBy>
  <cp:revision>2</cp:revision>
  <dcterms:created xsi:type="dcterms:W3CDTF">2023-04-27T09:35:00Z</dcterms:created>
  <dcterms:modified xsi:type="dcterms:W3CDTF">2023-04-27T09:35:00Z</dcterms:modified>
</cp:coreProperties>
</file>